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0B2" w:rsidRPr="00967605" w:rsidRDefault="004670B2" w:rsidP="007B2E65">
      <w:pPr>
        <w:spacing w:after="0"/>
        <w:rPr>
          <w:sz w:val="28"/>
          <w:szCs w:val="28"/>
        </w:rPr>
      </w:pPr>
      <w:r w:rsidRPr="00967605">
        <w:rPr>
          <w:b/>
          <w:sz w:val="28"/>
          <w:szCs w:val="28"/>
        </w:rPr>
        <w:t>FINAL REGULATIONS</w:t>
      </w:r>
      <w:r w:rsidR="008756E8">
        <w:rPr>
          <w:b/>
          <w:sz w:val="28"/>
          <w:szCs w:val="28"/>
        </w:rPr>
        <w:t>/RULES</w:t>
      </w:r>
    </w:p>
    <w:tbl>
      <w:tblPr>
        <w:tblStyle w:val="TableGrid"/>
        <w:tblW w:w="13176" w:type="dxa"/>
        <w:tblLook w:val="04A0" w:firstRow="1" w:lastRow="0" w:firstColumn="1" w:lastColumn="0" w:noHBand="0" w:noVBand="1"/>
      </w:tblPr>
      <w:tblGrid>
        <w:gridCol w:w="1278"/>
        <w:gridCol w:w="2250"/>
        <w:gridCol w:w="1440"/>
        <w:gridCol w:w="8208"/>
      </w:tblGrid>
      <w:tr w:rsidR="00AC6A22" w:rsidTr="00AC6A22">
        <w:tc>
          <w:tcPr>
            <w:tcW w:w="1278" w:type="dxa"/>
            <w:tcBorders>
              <w:top w:val="nil"/>
              <w:left w:val="nil"/>
              <w:right w:val="nil"/>
            </w:tcBorders>
          </w:tcPr>
          <w:p w:rsidR="00AC6A22" w:rsidRDefault="00AC6A22" w:rsidP="00413996">
            <w:pPr>
              <w:rPr>
                <w:b/>
              </w:rPr>
            </w:pPr>
            <w:r>
              <w:rPr>
                <w:b/>
              </w:rPr>
              <w:t>Effective Date</w:t>
            </w:r>
          </w:p>
        </w:tc>
        <w:tc>
          <w:tcPr>
            <w:tcW w:w="2250" w:type="dxa"/>
            <w:tcBorders>
              <w:top w:val="nil"/>
              <w:left w:val="nil"/>
              <w:right w:val="nil"/>
            </w:tcBorders>
          </w:tcPr>
          <w:p w:rsidR="00AC6A22" w:rsidRDefault="00AC6A22" w:rsidP="00413996">
            <w:pPr>
              <w:rPr>
                <w:b/>
              </w:rPr>
            </w:pPr>
            <w:r>
              <w:rPr>
                <w:b/>
              </w:rPr>
              <w:t>Regulation</w:t>
            </w:r>
          </w:p>
        </w:tc>
        <w:tc>
          <w:tcPr>
            <w:tcW w:w="1440" w:type="dxa"/>
            <w:tcBorders>
              <w:top w:val="nil"/>
              <w:left w:val="nil"/>
              <w:right w:val="nil"/>
            </w:tcBorders>
          </w:tcPr>
          <w:p w:rsidR="00AC6A22" w:rsidRDefault="00AC6A22" w:rsidP="00413996">
            <w:pPr>
              <w:rPr>
                <w:b/>
              </w:rPr>
            </w:pPr>
            <w:r>
              <w:rPr>
                <w:b/>
              </w:rPr>
              <w:t>Citation</w:t>
            </w:r>
          </w:p>
        </w:tc>
        <w:tc>
          <w:tcPr>
            <w:tcW w:w="8208" w:type="dxa"/>
            <w:tcBorders>
              <w:top w:val="nil"/>
              <w:left w:val="nil"/>
              <w:right w:val="nil"/>
            </w:tcBorders>
          </w:tcPr>
          <w:p w:rsidR="00AC6A22" w:rsidRDefault="00AC6A22" w:rsidP="00413996">
            <w:pPr>
              <w:rPr>
                <w:b/>
              </w:rPr>
            </w:pPr>
            <w:r>
              <w:rPr>
                <w:b/>
              </w:rPr>
              <w:t>Summary</w:t>
            </w:r>
          </w:p>
        </w:tc>
      </w:tr>
      <w:tr w:rsidR="00040BC6" w:rsidRPr="00967605" w:rsidTr="00AC6A22">
        <w:tc>
          <w:tcPr>
            <w:tcW w:w="1278" w:type="dxa"/>
          </w:tcPr>
          <w:p w:rsidR="00040BC6" w:rsidRDefault="00040BC6" w:rsidP="00413996">
            <w:r>
              <w:t>01/01/2018</w:t>
            </w:r>
          </w:p>
        </w:tc>
        <w:tc>
          <w:tcPr>
            <w:tcW w:w="2250" w:type="dxa"/>
          </w:tcPr>
          <w:p w:rsidR="00040BC6" w:rsidRDefault="00040BC6" w:rsidP="000C6F62">
            <w:r>
              <w:t>Regulation C</w:t>
            </w:r>
          </w:p>
        </w:tc>
        <w:tc>
          <w:tcPr>
            <w:tcW w:w="1440" w:type="dxa"/>
          </w:tcPr>
          <w:p w:rsidR="00040BC6" w:rsidRDefault="00D30737" w:rsidP="006E10DB">
            <w:pPr>
              <w:spacing w:after="120"/>
            </w:pPr>
            <w:hyperlink r:id="rId7" w:history="1">
              <w:r w:rsidR="00040BC6" w:rsidRPr="00040BC6">
                <w:rPr>
                  <w:rStyle w:val="Hyperlink"/>
                </w:rPr>
                <w:t>TBD</w:t>
              </w:r>
            </w:hyperlink>
          </w:p>
        </w:tc>
        <w:tc>
          <w:tcPr>
            <w:tcW w:w="8208" w:type="dxa"/>
          </w:tcPr>
          <w:p w:rsidR="00040BC6" w:rsidRDefault="00040BC6" w:rsidP="00040BC6">
            <w:r>
              <w:t xml:space="preserve">The CFPB finalized a temporary increase in the HMDA HELOC reporting threshold, and made </w:t>
            </w:r>
            <w:proofErr w:type="gramStart"/>
            <w:r>
              <w:t>a number of</w:t>
            </w:r>
            <w:proofErr w:type="gramEnd"/>
            <w:r>
              <w:t xml:space="preserve"> clarifications, technical corrections, and minor changes to the HMDA regulation. Under the HMDA rules becoming effective on January 1, 2018, financial institutions would have been required to report HELOCs if they made 100 such loans in each of the previous two years. The threshold is temporarily being increased to 500 loans during 2018 and 2019 to give the Bureau time to consider whether to make a permanent adjustment. The other amendments finalized by the Bureau include clarifying certain key terms, such as “temporary financing” and “automated underwriting system.” The changes will also, for example, establish transition rules for reporting certain loans purchased by financial institutions. Another change will facilitate reporting the census tract of a property, using a geocoding tool that will be provided on the Bureau’s website. </w:t>
            </w:r>
          </w:p>
        </w:tc>
      </w:tr>
      <w:tr w:rsidR="00040BC6" w:rsidRPr="00967605" w:rsidTr="00AC6A22">
        <w:tc>
          <w:tcPr>
            <w:tcW w:w="1278" w:type="dxa"/>
          </w:tcPr>
          <w:p w:rsidR="00040BC6" w:rsidRDefault="000D42A1" w:rsidP="00413996">
            <w:r>
              <w:t>07/01/2018</w:t>
            </w:r>
          </w:p>
        </w:tc>
        <w:tc>
          <w:tcPr>
            <w:tcW w:w="2250" w:type="dxa"/>
          </w:tcPr>
          <w:p w:rsidR="00040BC6" w:rsidRDefault="00D30737" w:rsidP="000C6F62">
            <w:hyperlink r:id="rId8" w:history="1">
              <w:r w:rsidR="000D42A1" w:rsidRPr="000D42A1">
                <w:rPr>
                  <w:rStyle w:val="Hyperlink"/>
                </w:rPr>
                <w:t>Oregon Data Match</w:t>
              </w:r>
            </w:hyperlink>
          </w:p>
        </w:tc>
        <w:tc>
          <w:tcPr>
            <w:tcW w:w="1440" w:type="dxa"/>
          </w:tcPr>
          <w:p w:rsidR="00040BC6" w:rsidRDefault="00040BC6" w:rsidP="006E10DB">
            <w:pPr>
              <w:spacing w:after="120"/>
            </w:pPr>
          </w:p>
        </w:tc>
        <w:tc>
          <w:tcPr>
            <w:tcW w:w="8208" w:type="dxa"/>
          </w:tcPr>
          <w:p w:rsidR="00040BC6" w:rsidRDefault="000D42A1" w:rsidP="000D42A1">
            <w:r>
              <w:t>Oregon Financial Institutions will need to abide by the new requirements of the data match system by July 1, 2018.  The data match system is a mandatory scrub of accounts against a state provided list of names and social security numbers of delinquent debtors (having a Department of Revenue warrant).  The State will reimburse financial institutions for participating in the data match system.  Institutions should track the resources and hours used in establishing and maintaining their process.  The Department of Revenue will work with institutions to develop the process and determine the amount of reimbursements.</w:t>
            </w:r>
          </w:p>
        </w:tc>
      </w:tr>
      <w:tr w:rsidR="00423E3C" w:rsidRPr="00967605" w:rsidTr="00AC6A22">
        <w:tc>
          <w:tcPr>
            <w:tcW w:w="1278" w:type="dxa"/>
          </w:tcPr>
          <w:p w:rsidR="00423E3C" w:rsidRDefault="00423E3C" w:rsidP="00413996"/>
        </w:tc>
        <w:tc>
          <w:tcPr>
            <w:tcW w:w="2250" w:type="dxa"/>
          </w:tcPr>
          <w:p w:rsidR="00423E3C" w:rsidRDefault="00423E3C" w:rsidP="000C6F62"/>
        </w:tc>
        <w:tc>
          <w:tcPr>
            <w:tcW w:w="1440" w:type="dxa"/>
          </w:tcPr>
          <w:p w:rsidR="00423E3C" w:rsidRDefault="00423E3C" w:rsidP="006E10DB">
            <w:pPr>
              <w:spacing w:after="120"/>
            </w:pPr>
          </w:p>
        </w:tc>
        <w:tc>
          <w:tcPr>
            <w:tcW w:w="8208" w:type="dxa"/>
          </w:tcPr>
          <w:p w:rsidR="00423E3C" w:rsidRPr="00494DA3" w:rsidRDefault="00423E3C" w:rsidP="005908B4"/>
        </w:tc>
      </w:tr>
    </w:tbl>
    <w:p w:rsidR="00CE26B8" w:rsidRDefault="00CE26B8" w:rsidP="000F5081">
      <w:pPr>
        <w:spacing w:after="0" w:line="240" w:lineRule="auto"/>
      </w:pPr>
    </w:p>
    <w:tbl>
      <w:tblPr>
        <w:tblStyle w:val="TableGrid"/>
        <w:tblW w:w="13176" w:type="dxa"/>
        <w:tblLook w:val="04A0" w:firstRow="1" w:lastRow="0" w:firstColumn="1" w:lastColumn="0" w:noHBand="0" w:noVBand="1"/>
      </w:tblPr>
      <w:tblGrid>
        <w:gridCol w:w="3528"/>
        <w:gridCol w:w="9648"/>
      </w:tblGrid>
      <w:tr w:rsidR="00FF3D8B" w:rsidTr="00FF3D8B">
        <w:tc>
          <w:tcPr>
            <w:tcW w:w="3528" w:type="dxa"/>
            <w:tcBorders>
              <w:top w:val="nil"/>
              <w:left w:val="nil"/>
              <w:right w:val="nil"/>
            </w:tcBorders>
          </w:tcPr>
          <w:p w:rsidR="00FF3D8B" w:rsidRDefault="00FF3D8B" w:rsidP="00D07FA6">
            <w:pPr>
              <w:rPr>
                <w:b/>
              </w:rPr>
            </w:pPr>
            <w:r>
              <w:rPr>
                <w:b/>
              </w:rPr>
              <w:t>Reminders</w:t>
            </w:r>
          </w:p>
        </w:tc>
        <w:tc>
          <w:tcPr>
            <w:tcW w:w="9648" w:type="dxa"/>
            <w:tcBorders>
              <w:top w:val="nil"/>
              <w:left w:val="nil"/>
              <w:right w:val="nil"/>
            </w:tcBorders>
          </w:tcPr>
          <w:p w:rsidR="00FF3D8B" w:rsidRDefault="00FF3D8B" w:rsidP="00D07FA6">
            <w:pPr>
              <w:rPr>
                <w:b/>
              </w:rPr>
            </w:pPr>
            <w:r>
              <w:rPr>
                <w:b/>
              </w:rPr>
              <w:t>Summary</w:t>
            </w:r>
          </w:p>
        </w:tc>
      </w:tr>
      <w:tr w:rsidR="00FF3D8B" w:rsidRPr="00967605" w:rsidTr="00FF3D8B">
        <w:tc>
          <w:tcPr>
            <w:tcW w:w="3528" w:type="dxa"/>
          </w:tcPr>
          <w:p w:rsidR="00FF3D8B" w:rsidRPr="000E1F7A" w:rsidRDefault="00FF3D8B" w:rsidP="00D07FA6"/>
        </w:tc>
        <w:tc>
          <w:tcPr>
            <w:tcW w:w="9648" w:type="dxa"/>
          </w:tcPr>
          <w:p w:rsidR="00FF3D8B" w:rsidRDefault="00FF3D8B" w:rsidP="00D07FA6">
            <w:pPr>
              <w:pStyle w:val="NormalWeb"/>
              <w:spacing w:before="0" w:beforeAutospacing="0" w:after="0" w:afterAutospacing="0"/>
              <w:rPr>
                <w:rFonts w:asciiTheme="minorHAnsi" w:eastAsiaTheme="minorEastAsia" w:hAnsiTheme="minorHAnsi" w:cstheme="minorBidi"/>
                <w:sz w:val="22"/>
                <w:szCs w:val="22"/>
              </w:rPr>
            </w:pPr>
          </w:p>
        </w:tc>
      </w:tr>
    </w:tbl>
    <w:p w:rsidR="003B2BCF" w:rsidRDefault="00DC082C" w:rsidP="007B2E65">
      <w:pPr>
        <w:spacing w:before="240" w:after="0"/>
        <w:rPr>
          <w:b/>
          <w:sz w:val="28"/>
          <w:szCs w:val="28"/>
        </w:rPr>
      </w:pPr>
      <w:r>
        <w:rPr>
          <w:b/>
          <w:sz w:val="28"/>
          <w:szCs w:val="28"/>
        </w:rPr>
        <w:t>PROPOSED REGULATIONS</w:t>
      </w:r>
    </w:p>
    <w:tbl>
      <w:tblPr>
        <w:tblStyle w:val="TableGrid"/>
        <w:tblW w:w="13176" w:type="dxa"/>
        <w:tblLook w:val="04A0" w:firstRow="1" w:lastRow="0" w:firstColumn="1" w:lastColumn="0" w:noHBand="0" w:noVBand="1"/>
      </w:tblPr>
      <w:tblGrid>
        <w:gridCol w:w="1278"/>
        <w:gridCol w:w="2282"/>
        <w:gridCol w:w="1411"/>
        <w:gridCol w:w="8205"/>
      </w:tblGrid>
      <w:tr w:rsidR="00DC082C" w:rsidTr="00413996">
        <w:tc>
          <w:tcPr>
            <w:tcW w:w="1278" w:type="dxa"/>
            <w:tcBorders>
              <w:top w:val="nil"/>
              <w:left w:val="nil"/>
              <w:right w:val="nil"/>
            </w:tcBorders>
          </w:tcPr>
          <w:p w:rsidR="00DC082C" w:rsidRDefault="00DC082C" w:rsidP="00413996">
            <w:pPr>
              <w:rPr>
                <w:b/>
              </w:rPr>
            </w:pPr>
            <w:r>
              <w:rPr>
                <w:b/>
              </w:rPr>
              <w:t>Comments Due</w:t>
            </w:r>
          </w:p>
        </w:tc>
        <w:tc>
          <w:tcPr>
            <w:tcW w:w="2282" w:type="dxa"/>
            <w:tcBorders>
              <w:top w:val="nil"/>
              <w:left w:val="nil"/>
              <w:right w:val="nil"/>
            </w:tcBorders>
          </w:tcPr>
          <w:p w:rsidR="00DC082C" w:rsidRDefault="00DC082C" w:rsidP="00413996">
            <w:pPr>
              <w:rPr>
                <w:b/>
              </w:rPr>
            </w:pPr>
            <w:r>
              <w:rPr>
                <w:b/>
              </w:rPr>
              <w:t>Regulation</w:t>
            </w:r>
          </w:p>
        </w:tc>
        <w:tc>
          <w:tcPr>
            <w:tcW w:w="1411" w:type="dxa"/>
            <w:tcBorders>
              <w:top w:val="nil"/>
              <w:left w:val="nil"/>
              <w:right w:val="nil"/>
            </w:tcBorders>
          </w:tcPr>
          <w:p w:rsidR="00DC082C" w:rsidRDefault="00DC082C" w:rsidP="00413996">
            <w:pPr>
              <w:rPr>
                <w:b/>
              </w:rPr>
            </w:pPr>
            <w:r>
              <w:rPr>
                <w:b/>
              </w:rPr>
              <w:t>Citation</w:t>
            </w:r>
          </w:p>
        </w:tc>
        <w:tc>
          <w:tcPr>
            <w:tcW w:w="8205" w:type="dxa"/>
            <w:tcBorders>
              <w:top w:val="nil"/>
              <w:left w:val="nil"/>
              <w:right w:val="nil"/>
            </w:tcBorders>
          </w:tcPr>
          <w:p w:rsidR="00DC082C" w:rsidRDefault="00DC082C" w:rsidP="00413996">
            <w:pPr>
              <w:rPr>
                <w:b/>
              </w:rPr>
            </w:pPr>
            <w:r>
              <w:rPr>
                <w:b/>
              </w:rPr>
              <w:t>Summary</w:t>
            </w:r>
          </w:p>
        </w:tc>
      </w:tr>
      <w:tr w:rsidR="0036422D" w:rsidRPr="00967605" w:rsidTr="00413996">
        <w:tc>
          <w:tcPr>
            <w:tcW w:w="1278" w:type="dxa"/>
          </w:tcPr>
          <w:p w:rsidR="0036422D" w:rsidRDefault="0036422D" w:rsidP="00413996">
            <w:r>
              <w:lastRenderedPageBreak/>
              <w:t>09/15/2017</w:t>
            </w:r>
          </w:p>
        </w:tc>
        <w:tc>
          <w:tcPr>
            <w:tcW w:w="2282" w:type="dxa"/>
          </w:tcPr>
          <w:p w:rsidR="0036422D" w:rsidRDefault="0036422D" w:rsidP="00413996">
            <w:r>
              <w:t>DOL Fiduciary Rule</w:t>
            </w:r>
          </w:p>
        </w:tc>
        <w:tc>
          <w:tcPr>
            <w:tcW w:w="1411" w:type="dxa"/>
          </w:tcPr>
          <w:p w:rsidR="0036422D" w:rsidRDefault="00D30737" w:rsidP="00413996">
            <w:hyperlink r:id="rId9" w:history="1">
              <w:r w:rsidR="0036422D" w:rsidRPr="0036422D">
                <w:rPr>
                  <w:rStyle w:val="Hyperlink"/>
                </w:rPr>
                <w:t>82 FR 41365</w:t>
              </w:r>
            </w:hyperlink>
          </w:p>
        </w:tc>
        <w:tc>
          <w:tcPr>
            <w:tcW w:w="8205" w:type="dxa"/>
          </w:tcPr>
          <w:p w:rsidR="0036422D" w:rsidRDefault="0036422D" w:rsidP="00EE477C">
            <w:pPr>
              <w:pStyle w:val="NormalWeb"/>
              <w:spacing w:after="0"/>
              <w:rPr>
                <w:rFonts w:asciiTheme="minorHAnsi" w:eastAsiaTheme="minorEastAsia" w:hAnsiTheme="minorHAnsi" w:cstheme="minorBidi"/>
                <w:sz w:val="22"/>
                <w:szCs w:val="22"/>
              </w:rPr>
            </w:pPr>
            <w:r w:rsidRPr="0036422D">
              <w:rPr>
                <w:rFonts w:asciiTheme="minorHAnsi" w:eastAsiaTheme="minorEastAsia" w:hAnsiTheme="minorHAnsi" w:cstheme="minorBidi"/>
                <w:sz w:val="22"/>
                <w:szCs w:val="22"/>
              </w:rPr>
              <w:t xml:space="preserve">The </w:t>
            </w:r>
            <w:r>
              <w:rPr>
                <w:rFonts w:asciiTheme="minorHAnsi" w:eastAsiaTheme="minorEastAsia" w:hAnsiTheme="minorHAnsi" w:cstheme="minorBidi"/>
                <w:sz w:val="22"/>
                <w:szCs w:val="22"/>
              </w:rPr>
              <w:t>DOL</w:t>
            </w:r>
            <w:r w:rsidRPr="0036422D">
              <w:rPr>
                <w:rFonts w:asciiTheme="minorHAnsi" w:eastAsiaTheme="minorEastAsia" w:hAnsiTheme="minorHAnsi" w:cstheme="minorBidi"/>
                <w:sz w:val="22"/>
                <w:szCs w:val="22"/>
              </w:rPr>
              <w:t xml:space="preserve"> published a proposed extension to July 1, 2019, of the special transition period for several exemptions to its fiduciary conflict of interest regulations, to give the Department the time necessary to consider possible changes and alternatives to sections of the regulations. The proposed amendments to these exemptions would affect participants and beneficiaries of plans, IRA owners and fiduciaries with respect to such plans and IRAs.</w:t>
            </w:r>
          </w:p>
        </w:tc>
      </w:tr>
      <w:tr w:rsidR="0036422D" w:rsidRPr="00967605" w:rsidTr="00413996">
        <w:tc>
          <w:tcPr>
            <w:tcW w:w="1278" w:type="dxa"/>
          </w:tcPr>
          <w:p w:rsidR="0036422D" w:rsidRDefault="0036422D" w:rsidP="00413996"/>
        </w:tc>
        <w:tc>
          <w:tcPr>
            <w:tcW w:w="2282" w:type="dxa"/>
          </w:tcPr>
          <w:p w:rsidR="0036422D" w:rsidRDefault="0036422D" w:rsidP="00413996"/>
        </w:tc>
        <w:tc>
          <w:tcPr>
            <w:tcW w:w="1411" w:type="dxa"/>
          </w:tcPr>
          <w:p w:rsidR="0036422D" w:rsidRDefault="0036422D" w:rsidP="00413996"/>
        </w:tc>
        <w:tc>
          <w:tcPr>
            <w:tcW w:w="8205" w:type="dxa"/>
          </w:tcPr>
          <w:p w:rsidR="0036422D" w:rsidRDefault="0036422D" w:rsidP="00EE477C">
            <w:pPr>
              <w:pStyle w:val="NormalWeb"/>
              <w:spacing w:after="0"/>
              <w:rPr>
                <w:rFonts w:asciiTheme="minorHAnsi" w:eastAsiaTheme="minorEastAsia" w:hAnsiTheme="minorHAnsi" w:cstheme="minorBidi"/>
                <w:sz w:val="22"/>
                <w:szCs w:val="22"/>
              </w:rPr>
            </w:pPr>
          </w:p>
        </w:tc>
      </w:tr>
    </w:tbl>
    <w:p w:rsidR="000C6F62" w:rsidRDefault="000C6F62" w:rsidP="000C6F62">
      <w:pPr>
        <w:spacing w:before="240" w:after="0"/>
        <w:rPr>
          <w:b/>
          <w:sz w:val="28"/>
          <w:szCs w:val="28"/>
        </w:rPr>
      </w:pPr>
      <w:r>
        <w:rPr>
          <w:b/>
          <w:sz w:val="28"/>
          <w:szCs w:val="28"/>
        </w:rPr>
        <w:t>RESOURCES</w:t>
      </w:r>
      <w:r w:rsidR="008756E8">
        <w:rPr>
          <w:b/>
          <w:sz w:val="28"/>
          <w:szCs w:val="28"/>
        </w:rPr>
        <w:t>/GUIDANCE</w:t>
      </w:r>
    </w:p>
    <w:tbl>
      <w:tblPr>
        <w:tblStyle w:val="TableGrid"/>
        <w:tblW w:w="13158" w:type="dxa"/>
        <w:tblLook w:val="04A0" w:firstRow="1" w:lastRow="0" w:firstColumn="1" w:lastColumn="0" w:noHBand="0" w:noVBand="1"/>
      </w:tblPr>
      <w:tblGrid>
        <w:gridCol w:w="2283"/>
        <w:gridCol w:w="10875"/>
      </w:tblGrid>
      <w:tr w:rsidR="000C6F62" w:rsidTr="000C6F62">
        <w:tc>
          <w:tcPr>
            <w:tcW w:w="2283" w:type="dxa"/>
            <w:tcBorders>
              <w:top w:val="nil"/>
              <w:left w:val="nil"/>
              <w:right w:val="nil"/>
            </w:tcBorders>
          </w:tcPr>
          <w:p w:rsidR="000C6F62" w:rsidRDefault="000C6F62" w:rsidP="00413996">
            <w:pPr>
              <w:rPr>
                <w:b/>
              </w:rPr>
            </w:pPr>
            <w:r>
              <w:rPr>
                <w:b/>
              </w:rPr>
              <w:t>Guidance</w:t>
            </w:r>
          </w:p>
        </w:tc>
        <w:tc>
          <w:tcPr>
            <w:tcW w:w="10875" w:type="dxa"/>
            <w:tcBorders>
              <w:top w:val="nil"/>
              <w:left w:val="nil"/>
              <w:right w:val="nil"/>
            </w:tcBorders>
          </w:tcPr>
          <w:p w:rsidR="000C6F62" w:rsidRDefault="000C6F62" w:rsidP="00413996">
            <w:pPr>
              <w:rPr>
                <w:b/>
              </w:rPr>
            </w:pPr>
            <w:r>
              <w:rPr>
                <w:b/>
              </w:rPr>
              <w:t>Summary</w:t>
            </w:r>
          </w:p>
        </w:tc>
      </w:tr>
      <w:tr w:rsidR="00132230" w:rsidRPr="00967605" w:rsidTr="000C6F62">
        <w:tc>
          <w:tcPr>
            <w:tcW w:w="2283" w:type="dxa"/>
          </w:tcPr>
          <w:p w:rsidR="00132230" w:rsidRDefault="00132230" w:rsidP="00413996">
            <w:hyperlink r:id="rId10" w:history="1">
              <w:r w:rsidRPr="00132230">
                <w:rPr>
                  <w:rStyle w:val="Hyperlink"/>
                </w:rPr>
                <w:t>Ask the CFPB</w:t>
              </w:r>
            </w:hyperlink>
          </w:p>
        </w:tc>
        <w:tc>
          <w:tcPr>
            <w:tcW w:w="10875" w:type="dxa"/>
          </w:tcPr>
          <w:p w:rsidR="00132230" w:rsidRPr="005D3CAC" w:rsidRDefault="00132230" w:rsidP="00A809DC">
            <w:pPr>
              <w:pStyle w:val="NormalWeb"/>
              <w:spacing w:before="0" w:beforeAutospacing="0" w:after="0" w:afterAutospacing="0"/>
              <w:rPr>
                <w:rFonts w:asciiTheme="minorHAnsi" w:hAnsiTheme="minorHAnsi" w:cs="Arial"/>
                <w:sz w:val="22"/>
                <w:szCs w:val="22"/>
                <w:shd w:val="clear" w:color="auto" w:fill="FFFFFF"/>
              </w:rPr>
            </w:pPr>
            <w:r w:rsidRPr="00132230">
              <w:rPr>
                <w:rFonts w:asciiTheme="minorHAnsi" w:hAnsiTheme="minorHAnsi" w:cs="Arial"/>
                <w:sz w:val="22"/>
                <w:szCs w:val="22"/>
                <w:shd w:val="clear" w:color="auto" w:fill="FFFFFF"/>
              </w:rPr>
              <w:t>The CFPB has created a new online form for asking informal staff guidance on questions about CFPB regulations.</w:t>
            </w:r>
            <w:bookmarkStart w:id="0" w:name="_GoBack"/>
            <w:bookmarkEnd w:id="0"/>
          </w:p>
        </w:tc>
      </w:tr>
      <w:tr w:rsidR="005D3CAC" w:rsidRPr="00967605" w:rsidTr="000C6F62">
        <w:tc>
          <w:tcPr>
            <w:tcW w:w="2283" w:type="dxa"/>
          </w:tcPr>
          <w:p w:rsidR="005D3CAC" w:rsidRDefault="00D30737" w:rsidP="00413996">
            <w:hyperlink r:id="rId11" w:history="1">
              <w:r w:rsidR="005D3CAC" w:rsidRPr="005D3CAC">
                <w:rPr>
                  <w:rStyle w:val="Hyperlink"/>
                </w:rPr>
                <w:t>Interagency Regulatory Capital Treatment</w:t>
              </w:r>
            </w:hyperlink>
          </w:p>
        </w:tc>
        <w:tc>
          <w:tcPr>
            <w:tcW w:w="10875" w:type="dxa"/>
          </w:tcPr>
          <w:p w:rsidR="005D3CAC" w:rsidRPr="005D3CAC" w:rsidRDefault="005D3CAC" w:rsidP="00A809DC">
            <w:pPr>
              <w:pStyle w:val="NormalWeb"/>
              <w:spacing w:before="0" w:beforeAutospacing="0" w:after="0" w:afterAutospacing="0"/>
              <w:rPr>
                <w:rFonts w:asciiTheme="minorHAnsi" w:hAnsiTheme="minorHAnsi" w:cs="Arial"/>
                <w:sz w:val="22"/>
                <w:szCs w:val="22"/>
                <w:shd w:val="clear" w:color="auto" w:fill="FFFFFF"/>
              </w:rPr>
            </w:pPr>
            <w:r w:rsidRPr="005D3CAC">
              <w:rPr>
                <w:rFonts w:asciiTheme="minorHAnsi" w:hAnsiTheme="minorHAnsi" w:cs="Arial"/>
                <w:sz w:val="22"/>
                <w:szCs w:val="22"/>
                <w:shd w:val="clear" w:color="auto" w:fill="FFFFFF"/>
              </w:rPr>
              <w:t xml:space="preserve">The OCC, Federal Reserve and FDIC have issued interagency guidance on the regulatory capital treatment of certain centrally cleared derivative contracts </w:t>
            </w:r>
            <w:proofErr w:type="gramStart"/>
            <w:r w:rsidRPr="005D3CAC">
              <w:rPr>
                <w:rFonts w:asciiTheme="minorHAnsi" w:hAnsiTheme="minorHAnsi" w:cs="Arial"/>
                <w:sz w:val="22"/>
                <w:szCs w:val="22"/>
                <w:shd w:val="clear" w:color="auto" w:fill="FFFFFF"/>
              </w:rPr>
              <w:t>in light of</w:t>
            </w:r>
            <w:proofErr w:type="gramEnd"/>
            <w:r w:rsidRPr="005D3CAC">
              <w:rPr>
                <w:rFonts w:asciiTheme="minorHAnsi" w:hAnsiTheme="minorHAnsi" w:cs="Arial"/>
                <w:sz w:val="22"/>
                <w:szCs w:val="22"/>
                <w:shd w:val="clear" w:color="auto" w:fill="FFFFFF"/>
              </w:rPr>
              <w:t xml:space="preserve"> recent changes to the rulebooks of certain central counterparties. Those rulebook changes are such that variation margin is considered a settlement payment and not collateral. If a supervised institution determines the transfer of variation margin on a centrally-cleared, settled-to-market contract settles any outstanding exposure on the contract and resets the fair value of the contract to zero, the contract's remaining maturity is the time until the next exchange of variation margin. This guidance may affect a derivative contract's calculation of potential future exposure, which uses a conversion factor based, in part, on the contract's remaining maturity.</w:t>
            </w:r>
          </w:p>
        </w:tc>
      </w:tr>
      <w:tr w:rsidR="005D3CAC" w:rsidRPr="00967605" w:rsidTr="000C6F62">
        <w:tc>
          <w:tcPr>
            <w:tcW w:w="2283" w:type="dxa"/>
          </w:tcPr>
          <w:p w:rsidR="005D3CAC" w:rsidRDefault="00D30737" w:rsidP="00413996">
            <w:hyperlink r:id="rId12" w:history="1">
              <w:r w:rsidR="005D3CAC" w:rsidRPr="005D3CAC">
                <w:rPr>
                  <w:rStyle w:val="Hyperlink"/>
                </w:rPr>
                <w:t xml:space="preserve">August </w:t>
              </w:r>
              <w:proofErr w:type="spellStart"/>
              <w:r w:rsidR="005D3CAC" w:rsidRPr="005D3CAC">
                <w:rPr>
                  <w:rStyle w:val="Hyperlink"/>
                </w:rPr>
                <w:t>FedFlash</w:t>
              </w:r>
              <w:proofErr w:type="spellEnd"/>
            </w:hyperlink>
          </w:p>
        </w:tc>
        <w:tc>
          <w:tcPr>
            <w:tcW w:w="10875" w:type="dxa"/>
          </w:tcPr>
          <w:p w:rsidR="005D3CAC" w:rsidRPr="000D42A1" w:rsidRDefault="005D3CAC" w:rsidP="00A809DC">
            <w:pPr>
              <w:pStyle w:val="NormalWeb"/>
              <w:spacing w:before="0" w:beforeAutospacing="0" w:after="0" w:afterAutospacing="0"/>
              <w:rPr>
                <w:rFonts w:asciiTheme="minorHAnsi" w:hAnsiTheme="minorHAnsi" w:cs="Arial"/>
                <w:sz w:val="22"/>
                <w:szCs w:val="22"/>
                <w:shd w:val="clear" w:color="auto" w:fill="FFFFFF"/>
              </w:rPr>
            </w:pPr>
            <w:r w:rsidRPr="005D3CAC">
              <w:rPr>
                <w:rFonts w:asciiTheme="minorHAnsi" w:hAnsiTheme="minorHAnsi" w:cs="Arial"/>
                <w:sz w:val="22"/>
                <w:szCs w:val="22"/>
                <w:shd w:val="clear" w:color="auto" w:fill="FFFFFF"/>
              </w:rPr>
              <w:t>This issue includes an article on a new deadline for paper/fax exception returns that will permit RDFIs to make a same-day return of Same Day ACH items over $10,000. This new deadline will be implemented September 15. There is also a reminder that, also on September 15, Phase 2 of the Same Day ACH implementation will be activated, and same-day debit processing will begin, and an article on how the FRFS's Check Adjustments Quick Reference Guide can help Federal Reserve clients.</w:t>
            </w:r>
          </w:p>
        </w:tc>
      </w:tr>
      <w:tr w:rsidR="000D42A1" w:rsidRPr="00967605" w:rsidTr="000C6F62">
        <w:tc>
          <w:tcPr>
            <w:tcW w:w="2283" w:type="dxa"/>
          </w:tcPr>
          <w:p w:rsidR="000D42A1" w:rsidRDefault="00D30737" w:rsidP="00413996">
            <w:hyperlink r:id="rId13" w:history="1">
              <w:r w:rsidR="000D42A1" w:rsidRPr="005D3CAC">
                <w:rPr>
                  <w:rStyle w:val="Hyperlink"/>
                </w:rPr>
                <w:t>OCC Bank Accounting Series</w:t>
              </w:r>
            </w:hyperlink>
          </w:p>
        </w:tc>
        <w:tc>
          <w:tcPr>
            <w:tcW w:w="10875" w:type="dxa"/>
          </w:tcPr>
          <w:p w:rsidR="000D42A1" w:rsidRPr="00A218E1" w:rsidRDefault="000D42A1" w:rsidP="00A809DC">
            <w:pPr>
              <w:pStyle w:val="NormalWeb"/>
              <w:spacing w:before="0" w:beforeAutospacing="0" w:after="0" w:afterAutospacing="0"/>
              <w:rPr>
                <w:rFonts w:asciiTheme="minorHAnsi" w:hAnsiTheme="minorHAnsi" w:cs="Arial"/>
                <w:sz w:val="22"/>
                <w:szCs w:val="22"/>
                <w:shd w:val="clear" w:color="auto" w:fill="FFFFFF"/>
              </w:rPr>
            </w:pPr>
            <w:r w:rsidRPr="000D42A1">
              <w:rPr>
                <w:rFonts w:asciiTheme="minorHAnsi" w:hAnsiTheme="minorHAnsi" w:cs="Arial"/>
                <w:sz w:val="22"/>
                <w:szCs w:val="22"/>
                <w:shd w:val="clear" w:color="auto" w:fill="FFFFFF"/>
              </w:rPr>
              <w:t>The release</w:t>
            </w:r>
            <w:r>
              <w:rPr>
                <w:rFonts w:asciiTheme="minorHAnsi" w:hAnsiTheme="minorHAnsi" w:cs="Arial"/>
                <w:sz w:val="22"/>
                <w:szCs w:val="22"/>
                <w:shd w:val="clear" w:color="auto" w:fill="FFFFFF"/>
              </w:rPr>
              <w:t>d</w:t>
            </w:r>
            <w:r w:rsidRPr="000D42A1">
              <w:rPr>
                <w:rFonts w:asciiTheme="minorHAnsi" w:hAnsiTheme="minorHAnsi" w:cs="Arial"/>
                <w:sz w:val="22"/>
                <w:szCs w:val="22"/>
                <w:shd w:val="clear" w:color="auto" w:fill="FFFFFF"/>
              </w:rPr>
              <w:t xml:space="preserve"> an update to its Bank Accounting Advisory Series (BAAS). The BAAS </w:t>
            </w:r>
            <w:proofErr w:type="gramStart"/>
            <w:r w:rsidRPr="000D42A1">
              <w:rPr>
                <w:rFonts w:asciiTheme="minorHAnsi" w:hAnsiTheme="minorHAnsi" w:cs="Arial"/>
                <w:sz w:val="22"/>
                <w:szCs w:val="22"/>
                <w:shd w:val="clear" w:color="auto" w:fill="FFFFFF"/>
              </w:rPr>
              <w:t>covers</w:t>
            </w:r>
            <w:proofErr w:type="gramEnd"/>
            <w:r w:rsidRPr="000D42A1">
              <w:rPr>
                <w:rFonts w:asciiTheme="minorHAnsi" w:hAnsiTheme="minorHAnsi" w:cs="Arial"/>
                <w:sz w:val="22"/>
                <w:szCs w:val="22"/>
                <w:shd w:val="clear" w:color="auto" w:fill="FFFFFF"/>
              </w:rPr>
              <w:t xml:space="preserve"> a variety of topics and promotes consistent application of accounting standards among national banks and federal savings associations. The update incorporates standards issued by the Financial Accounting Standards Board on topics such as the recognition and measurement of financial instruments, leases, and revenue recognition. Additionally, this edition includes recent answers to frequently asked questions from the industry and examiners.</w:t>
            </w:r>
          </w:p>
        </w:tc>
      </w:tr>
      <w:tr w:rsidR="00A218E1" w:rsidRPr="00967605" w:rsidTr="000C6F62">
        <w:tc>
          <w:tcPr>
            <w:tcW w:w="2283" w:type="dxa"/>
          </w:tcPr>
          <w:p w:rsidR="00A218E1" w:rsidRDefault="00D30737" w:rsidP="00413996">
            <w:hyperlink r:id="rId14" w:history="1">
              <w:r w:rsidR="00A218E1" w:rsidRPr="00A218E1">
                <w:rPr>
                  <w:rStyle w:val="Hyperlink"/>
                </w:rPr>
                <w:t>GTO &amp; FIN-2017-A003</w:t>
              </w:r>
            </w:hyperlink>
          </w:p>
        </w:tc>
        <w:tc>
          <w:tcPr>
            <w:tcW w:w="10875" w:type="dxa"/>
          </w:tcPr>
          <w:p w:rsidR="00A218E1" w:rsidRDefault="00A218E1" w:rsidP="00A809DC">
            <w:pPr>
              <w:pStyle w:val="NormalWeb"/>
              <w:spacing w:before="0" w:beforeAutospacing="0" w:after="0" w:afterAutospacing="0"/>
              <w:rPr>
                <w:rFonts w:asciiTheme="minorHAnsi" w:hAnsiTheme="minorHAnsi" w:cs="Arial"/>
                <w:sz w:val="22"/>
                <w:szCs w:val="22"/>
                <w:shd w:val="clear" w:color="auto" w:fill="FFFFFF"/>
              </w:rPr>
            </w:pPr>
            <w:r w:rsidRPr="00A218E1">
              <w:rPr>
                <w:rFonts w:asciiTheme="minorHAnsi" w:hAnsiTheme="minorHAnsi" w:cs="Arial"/>
                <w:sz w:val="22"/>
                <w:szCs w:val="22"/>
                <w:shd w:val="clear" w:color="auto" w:fill="FFFFFF"/>
              </w:rPr>
              <w:t xml:space="preserve">FinCEN issued Geographic Targeting Orders directed at title insurance companies and properties in areas of Texas, Florida, New York, California and Hawaii. While financial institutions have no requirements related to this GTO, FinCEN simultaneously issued FIN-2017-A003, Advisory to Financial Institutions and Real Estate Firms and Professionals.  The </w:t>
            </w:r>
            <w:r w:rsidRPr="00A218E1">
              <w:rPr>
                <w:rFonts w:asciiTheme="minorHAnsi" w:hAnsiTheme="minorHAnsi" w:cs="Arial"/>
                <w:sz w:val="22"/>
                <w:szCs w:val="22"/>
                <w:shd w:val="clear" w:color="auto" w:fill="FFFFFF"/>
              </w:rPr>
              <w:lastRenderedPageBreak/>
              <w:t>Advisory lists some examples that financial institutions should be aware of when identifying and reporting suspicious transactions. These include the use of shell companies, and all-cash purchases. The Advisory should be shared with staff involved with BSA/AML monitoring and reporting.</w:t>
            </w:r>
          </w:p>
        </w:tc>
      </w:tr>
      <w:tr w:rsidR="00F36F1A" w:rsidRPr="00967605" w:rsidTr="000C6F62">
        <w:tc>
          <w:tcPr>
            <w:tcW w:w="2283" w:type="dxa"/>
          </w:tcPr>
          <w:p w:rsidR="00F36F1A" w:rsidRDefault="00D30737" w:rsidP="00413996">
            <w:hyperlink r:id="rId15" w:history="1">
              <w:r w:rsidR="0036422D" w:rsidRPr="0036422D">
                <w:rPr>
                  <w:rStyle w:val="Hyperlink"/>
                </w:rPr>
                <w:t>TRID Changes</w:t>
              </w:r>
            </w:hyperlink>
          </w:p>
        </w:tc>
        <w:tc>
          <w:tcPr>
            <w:tcW w:w="10875" w:type="dxa"/>
          </w:tcPr>
          <w:p w:rsidR="00F36F1A" w:rsidRPr="00757371" w:rsidRDefault="0036422D" w:rsidP="00A809DC">
            <w:pPr>
              <w:pStyle w:val="NormalWeb"/>
              <w:spacing w:before="0" w:beforeAutospacing="0" w:after="0" w:afterAutospacing="0"/>
              <w:rPr>
                <w:rFonts w:asciiTheme="minorHAnsi" w:hAnsiTheme="minorHAnsi" w:cs="Arial"/>
                <w:sz w:val="22"/>
                <w:szCs w:val="22"/>
                <w:shd w:val="clear" w:color="auto" w:fill="FFFFFF"/>
              </w:rPr>
            </w:pPr>
            <w:r>
              <w:rPr>
                <w:rFonts w:asciiTheme="minorHAnsi" w:hAnsiTheme="minorHAnsi" w:cs="Arial"/>
                <w:sz w:val="22"/>
                <w:szCs w:val="22"/>
                <w:shd w:val="clear" w:color="auto" w:fill="FFFFFF"/>
              </w:rPr>
              <w:t>The CFPB</w:t>
            </w:r>
            <w:r w:rsidRPr="0036422D">
              <w:rPr>
                <w:rFonts w:asciiTheme="minorHAnsi" w:hAnsiTheme="minorHAnsi" w:cs="Arial"/>
                <w:sz w:val="22"/>
                <w:szCs w:val="22"/>
                <w:shd w:val="clear" w:color="auto" w:fill="FFFFFF"/>
              </w:rPr>
              <w:t xml:space="preserve"> posted a new summary outlining and explaining the changes and clarifications made by its July 2017 TILA-RESPA Rule on its TRID Rule implementation page.</w:t>
            </w:r>
          </w:p>
        </w:tc>
      </w:tr>
      <w:tr w:rsidR="00F36F1A" w:rsidRPr="00967605" w:rsidTr="000C6F62">
        <w:tc>
          <w:tcPr>
            <w:tcW w:w="2283" w:type="dxa"/>
          </w:tcPr>
          <w:p w:rsidR="00F36F1A" w:rsidRDefault="00D30737" w:rsidP="00413996">
            <w:hyperlink r:id="rId16" w:history="1">
              <w:r w:rsidR="00DF6BA3" w:rsidRPr="00DF6BA3">
                <w:rPr>
                  <w:rStyle w:val="Hyperlink"/>
                </w:rPr>
                <w:t>FDIC Supervisory Insights Journal</w:t>
              </w:r>
            </w:hyperlink>
          </w:p>
        </w:tc>
        <w:tc>
          <w:tcPr>
            <w:tcW w:w="10875" w:type="dxa"/>
          </w:tcPr>
          <w:p w:rsidR="00F36F1A" w:rsidRPr="00757371" w:rsidRDefault="00DF6BA3" w:rsidP="00A809DC">
            <w:pPr>
              <w:pStyle w:val="NormalWeb"/>
              <w:spacing w:before="0" w:beforeAutospacing="0" w:after="0" w:afterAutospacing="0"/>
              <w:rPr>
                <w:rFonts w:asciiTheme="minorHAnsi" w:hAnsiTheme="minorHAnsi" w:cs="Arial"/>
                <w:sz w:val="22"/>
                <w:szCs w:val="22"/>
                <w:shd w:val="clear" w:color="auto" w:fill="FFFFFF"/>
              </w:rPr>
            </w:pPr>
            <w:r w:rsidRPr="00DF6BA3">
              <w:rPr>
                <w:rFonts w:asciiTheme="minorHAnsi" w:hAnsiTheme="minorHAnsi" w:cs="Arial"/>
                <w:sz w:val="22"/>
                <w:szCs w:val="22"/>
                <w:shd w:val="clear" w:color="auto" w:fill="FFFFFF"/>
              </w:rPr>
              <w:t>The Summer 2017 issue features two articles of interest to examiners, bankers, and supervisors. The first article emphasizes the importance of liquidity risk management and describes contingency funding strategies to help community banks mitigate potential stress. The second article provides an overview of the Bank Secrecy Act/Anti-Money Laundering (BSA/AML) examination and discusses trends in supervision and enforcement.</w:t>
            </w:r>
          </w:p>
        </w:tc>
      </w:tr>
      <w:tr w:rsidR="00DF6BA3" w:rsidRPr="00967605" w:rsidTr="000C6F62">
        <w:tc>
          <w:tcPr>
            <w:tcW w:w="2283" w:type="dxa"/>
          </w:tcPr>
          <w:p w:rsidR="00DF6BA3" w:rsidRDefault="00D30737" w:rsidP="00413996">
            <w:hyperlink r:id="rId17" w:history="1">
              <w:r w:rsidR="00DF6BA3" w:rsidRPr="00040BC6">
                <w:rPr>
                  <w:rStyle w:val="Hyperlink"/>
                </w:rPr>
                <w:t xml:space="preserve">HMDA </w:t>
              </w:r>
              <w:r w:rsidR="00040BC6" w:rsidRPr="00040BC6">
                <w:rPr>
                  <w:rStyle w:val="Hyperlink"/>
                </w:rPr>
                <w:t>Filing Instructions</w:t>
              </w:r>
            </w:hyperlink>
          </w:p>
        </w:tc>
        <w:tc>
          <w:tcPr>
            <w:tcW w:w="10875" w:type="dxa"/>
          </w:tcPr>
          <w:p w:rsidR="00DF6BA3" w:rsidRPr="00757371" w:rsidRDefault="00040BC6" w:rsidP="00A809DC">
            <w:pPr>
              <w:pStyle w:val="NormalWeb"/>
              <w:spacing w:before="0" w:beforeAutospacing="0" w:after="0" w:afterAutospacing="0"/>
              <w:rPr>
                <w:rFonts w:asciiTheme="minorHAnsi" w:hAnsiTheme="minorHAnsi" w:cs="Arial"/>
                <w:sz w:val="22"/>
                <w:szCs w:val="22"/>
                <w:shd w:val="clear" w:color="auto" w:fill="FFFFFF"/>
              </w:rPr>
            </w:pPr>
            <w:r w:rsidRPr="00040BC6">
              <w:rPr>
                <w:rFonts w:asciiTheme="minorHAnsi" w:hAnsiTheme="minorHAnsi" w:cs="Arial"/>
                <w:sz w:val="22"/>
                <w:szCs w:val="22"/>
                <w:shd w:val="clear" w:color="auto" w:fill="FFFFFF"/>
              </w:rPr>
              <w:t>The Filing instructions guide for data collected in 2018 has been updated on the Resources for HMDA Filers webpage.</w:t>
            </w:r>
          </w:p>
        </w:tc>
      </w:tr>
      <w:tr w:rsidR="00DF6BA3" w:rsidRPr="00967605" w:rsidTr="000C6F62">
        <w:tc>
          <w:tcPr>
            <w:tcW w:w="2283" w:type="dxa"/>
          </w:tcPr>
          <w:p w:rsidR="00DF6BA3" w:rsidRDefault="00D30737" w:rsidP="00413996">
            <w:hyperlink r:id="rId18" w:history="1">
              <w:r w:rsidR="000D01F6" w:rsidRPr="000D01F6">
                <w:rPr>
                  <w:rStyle w:val="Hyperlink"/>
                </w:rPr>
                <w:t>Ask the CFPB</w:t>
              </w:r>
            </w:hyperlink>
          </w:p>
        </w:tc>
        <w:tc>
          <w:tcPr>
            <w:tcW w:w="10875" w:type="dxa"/>
          </w:tcPr>
          <w:p w:rsidR="00DF6BA3" w:rsidRPr="00757371" w:rsidRDefault="000D01F6" w:rsidP="00A809DC">
            <w:pPr>
              <w:pStyle w:val="NormalWeb"/>
              <w:spacing w:before="0" w:beforeAutospacing="0" w:after="0" w:afterAutospacing="0"/>
              <w:rPr>
                <w:rFonts w:asciiTheme="minorHAnsi" w:hAnsiTheme="minorHAnsi" w:cs="Arial"/>
                <w:sz w:val="22"/>
                <w:szCs w:val="22"/>
                <w:shd w:val="clear" w:color="auto" w:fill="FFFFFF"/>
              </w:rPr>
            </w:pPr>
            <w:r w:rsidRPr="000D01F6">
              <w:rPr>
                <w:rFonts w:asciiTheme="minorHAnsi" w:hAnsiTheme="minorHAnsi" w:cs="Arial"/>
                <w:sz w:val="22"/>
                <w:szCs w:val="22"/>
                <w:shd w:val="clear" w:color="auto" w:fill="FFFFFF"/>
              </w:rPr>
              <w:t>The CFPB has created a new online form for asking informal staff guidance on questions about CFPB regulations</w:t>
            </w:r>
          </w:p>
        </w:tc>
      </w:tr>
      <w:tr w:rsidR="00C26AA8" w:rsidRPr="00967605" w:rsidTr="000C6F62">
        <w:tc>
          <w:tcPr>
            <w:tcW w:w="2283" w:type="dxa"/>
          </w:tcPr>
          <w:p w:rsidR="00C26AA8" w:rsidRDefault="00D30737" w:rsidP="00413996">
            <w:hyperlink r:id="rId19" w:history="1">
              <w:r w:rsidR="000D01F6" w:rsidRPr="000D01F6">
                <w:rPr>
                  <w:rStyle w:val="Hyperlink"/>
                </w:rPr>
                <w:t>OCC 2017-28</w:t>
              </w:r>
            </w:hyperlink>
          </w:p>
        </w:tc>
        <w:tc>
          <w:tcPr>
            <w:tcW w:w="10875" w:type="dxa"/>
          </w:tcPr>
          <w:p w:rsidR="00C26AA8" w:rsidRPr="00757371" w:rsidRDefault="000D01F6" w:rsidP="00A809DC">
            <w:pPr>
              <w:pStyle w:val="NormalWeb"/>
              <w:spacing w:before="0" w:beforeAutospacing="0" w:after="0" w:afterAutospacing="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Addressing </w:t>
            </w:r>
            <w:r w:rsidRPr="000D01F6">
              <w:rPr>
                <w:rFonts w:asciiTheme="minorHAnsi" w:hAnsiTheme="minorHAnsi" w:cs="Arial"/>
                <w:sz w:val="22"/>
                <w:szCs w:val="22"/>
                <w:shd w:val="clear" w:color="auto" w:fill="FFFFFF"/>
              </w:rPr>
              <w:t>circumstances under which banks may establish a program to originate certain higher-LTV loans, and OCC’s supervisory considerations regarding such programs.  These programs may be eligible for Community Reinvestment Act credit.</w:t>
            </w:r>
          </w:p>
        </w:tc>
      </w:tr>
      <w:tr w:rsidR="000D01F6" w:rsidRPr="00967605" w:rsidTr="000C6F62">
        <w:tc>
          <w:tcPr>
            <w:tcW w:w="2283" w:type="dxa"/>
          </w:tcPr>
          <w:p w:rsidR="000D01F6" w:rsidRDefault="00D30737" w:rsidP="00413996">
            <w:hyperlink r:id="rId20" w:history="1">
              <w:r w:rsidR="000D01F6" w:rsidRPr="000D01F6">
                <w:rPr>
                  <w:rStyle w:val="Hyperlink"/>
                </w:rPr>
                <w:t>HMDA Examiner Testing Guidelines</w:t>
              </w:r>
            </w:hyperlink>
          </w:p>
        </w:tc>
        <w:tc>
          <w:tcPr>
            <w:tcW w:w="10875" w:type="dxa"/>
          </w:tcPr>
          <w:p w:rsidR="000D01F6" w:rsidRPr="00757371" w:rsidRDefault="000D01F6" w:rsidP="00A809DC">
            <w:pPr>
              <w:pStyle w:val="NormalWeb"/>
              <w:spacing w:before="0" w:beforeAutospacing="0" w:after="0" w:afterAutospacing="0"/>
              <w:rPr>
                <w:rFonts w:asciiTheme="minorHAnsi" w:hAnsiTheme="minorHAnsi" w:cs="Arial"/>
                <w:sz w:val="22"/>
                <w:szCs w:val="22"/>
                <w:shd w:val="clear" w:color="auto" w:fill="FFFFFF"/>
              </w:rPr>
            </w:pPr>
            <w:r w:rsidRPr="000D01F6">
              <w:rPr>
                <w:rFonts w:asciiTheme="minorHAnsi" w:hAnsiTheme="minorHAnsi" w:cs="Arial"/>
                <w:sz w:val="22"/>
                <w:szCs w:val="22"/>
                <w:shd w:val="clear" w:color="auto" w:fill="FFFFFF"/>
              </w:rPr>
              <w:t>The FFIEC released its HMDA Examiner Transaction Testing Guidelines for institutions that report HMDA data.  The Guidelines will apply to examination of HMDA data collected beginning in 2018 and reported beginning in 2019.</w:t>
            </w:r>
          </w:p>
        </w:tc>
      </w:tr>
      <w:tr w:rsidR="000D01F6" w:rsidRPr="00967605" w:rsidTr="000C6F62">
        <w:tc>
          <w:tcPr>
            <w:tcW w:w="2283" w:type="dxa"/>
          </w:tcPr>
          <w:p w:rsidR="000D01F6" w:rsidRDefault="000D01F6" w:rsidP="00413996"/>
        </w:tc>
        <w:tc>
          <w:tcPr>
            <w:tcW w:w="10875" w:type="dxa"/>
          </w:tcPr>
          <w:p w:rsidR="000D01F6" w:rsidRPr="00757371" w:rsidRDefault="000D01F6" w:rsidP="00A809DC">
            <w:pPr>
              <w:pStyle w:val="NormalWeb"/>
              <w:spacing w:before="0" w:beforeAutospacing="0" w:after="0" w:afterAutospacing="0"/>
              <w:rPr>
                <w:rFonts w:asciiTheme="minorHAnsi" w:hAnsiTheme="minorHAnsi" w:cs="Arial"/>
                <w:sz w:val="22"/>
                <w:szCs w:val="22"/>
                <w:shd w:val="clear" w:color="auto" w:fill="FFFFFF"/>
              </w:rPr>
            </w:pPr>
          </w:p>
        </w:tc>
      </w:tr>
      <w:tr w:rsidR="00757371" w:rsidRPr="00967605" w:rsidTr="000C6F62">
        <w:tc>
          <w:tcPr>
            <w:tcW w:w="2283" w:type="dxa"/>
          </w:tcPr>
          <w:p w:rsidR="00757371" w:rsidRDefault="00D30737" w:rsidP="00413996">
            <w:hyperlink r:id="rId21" w:history="1">
              <w:r w:rsidR="00757371" w:rsidRPr="00757371">
                <w:rPr>
                  <w:rStyle w:val="Hyperlink"/>
                </w:rPr>
                <w:t>OCC Semiannual Risk Perspective</w:t>
              </w:r>
            </w:hyperlink>
          </w:p>
        </w:tc>
        <w:tc>
          <w:tcPr>
            <w:tcW w:w="10875" w:type="dxa"/>
          </w:tcPr>
          <w:p w:rsidR="00757371" w:rsidRPr="00EE477C" w:rsidRDefault="00757371" w:rsidP="00A809DC">
            <w:pPr>
              <w:pStyle w:val="NormalWeb"/>
              <w:spacing w:before="0" w:beforeAutospacing="0" w:after="0" w:afterAutospacing="0"/>
              <w:rPr>
                <w:rFonts w:asciiTheme="minorHAnsi" w:hAnsiTheme="minorHAnsi" w:cs="Arial"/>
                <w:sz w:val="22"/>
                <w:szCs w:val="22"/>
                <w:shd w:val="clear" w:color="auto" w:fill="FFFFFF"/>
              </w:rPr>
            </w:pPr>
            <w:r w:rsidRPr="00757371">
              <w:rPr>
                <w:rFonts w:asciiTheme="minorHAnsi" w:hAnsiTheme="minorHAnsi" w:cs="Arial"/>
                <w:sz w:val="22"/>
                <w:szCs w:val="22"/>
                <w:shd w:val="clear" w:color="auto" w:fill="FFFFFF"/>
              </w:rPr>
              <w:t>The OCC released its Semiannual Risk Perspective for Spring 2017 which indicates compliance risk remains high.  The report notes that high BSA/AML compliance risk is due to new/emerging technology which also means new vulnerabilities.  BSA issues accounted for about 10% (19% for large banks) of the Matters Requiring Attention (MRA), handed down from the OCC as of the end of 2016.</w:t>
            </w:r>
            <w:r>
              <w:rPr>
                <w:rFonts w:asciiTheme="minorHAnsi" w:hAnsiTheme="minorHAnsi" w:cs="Arial"/>
                <w:sz w:val="22"/>
                <w:szCs w:val="22"/>
                <w:shd w:val="clear" w:color="auto" w:fill="FFFFFF"/>
              </w:rPr>
              <w:t xml:space="preserve">  </w:t>
            </w:r>
            <w:r w:rsidRPr="00757371">
              <w:rPr>
                <w:rFonts w:asciiTheme="minorHAnsi" w:hAnsiTheme="minorHAnsi" w:cs="Arial"/>
                <w:sz w:val="22"/>
                <w:szCs w:val="22"/>
                <w:shd w:val="clear" w:color="auto" w:fill="FFFFFF"/>
              </w:rPr>
              <w:t xml:space="preserve">Also contributing to the </w:t>
            </w:r>
            <w:proofErr w:type="gramStart"/>
            <w:r w:rsidRPr="00757371">
              <w:rPr>
                <w:rFonts w:asciiTheme="minorHAnsi" w:hAnsiTheme="minorHAnsi" w:cs="Arial"/>
                <w:sz w:val="22"/>
                <w:szCs w:val="22"/>
                <w:shd w:val="clear" w:color="auto" w:fill="FFFFFF"/>
              </w:rPr>
              <w:t>high risk</w:t>
            </w:r>
            <w:proofErr w:type="gramEnd"/>
            <w:r w:rsidRPr="00757371">
              <w:rPr>
                <w:rFonts w:asciiTheme="minorHAnsi" w:hAnsiTheme="minorHAnsi" w:cs="Arial"/>
                <w:sz w:val="22"/>
                <w:szCs w:val="22"/>
                <w:shd w:val="clear" w:color="auto" w:fill="FFFFFF"/>
              </w:rPr>
              <w:t xml:space="preserve"> rating are the implementation challenges presented by the Integrated Mortgage Disclosure Rules (i.e., TRID), changes to The Military Lending Act (MLA) and the upcoming HMDA changes.</w:t>
            </w:r>
          </w:p>
        </w:tc>
      </w:tr>
      <w:tr w:rsidR="00757371" w:rsidRPr="00967605" w:rsidTr="000C6F62">
        <w:tc>
          <w:tcPr>
            <w:tcW w:w="2283" w:type="dxa"/>
          </w:tcPr>
          <w:p w:rsidR="00757371" w:rsidRDefault="00757371" w:rsidP="00413996">
            <w:r>
              <w:t>CFPB Reports on Student Loans</w:t>
            </w:r>
          </w:p>
        </w:tc>
        <w:tc>
          <w:tcPr>
            <w:tcW w:w="10875" w:type="dxa"/>
          </w:tcPr>
          <w:p w:rsidR="00757371" w:rsidRPr="00757371" w:rsidRDefault="00757371" w:rsidP="00A809DC">
            <w:pPr>
              <w:pStyle w:val="NormalWeb"/>
              <w:spacing w:before="0" w:beforeAutospacing="0" w:after="0" w:afterAutospacing="0"/>
              <w:rPr>
                <w:rFonts w:asciiTheme="minorHAnsi" w:hAnsiTheme="minorHAnsi" w:cs="Arial"/>
                <w:sz w:val="22"/>
                <w:szCs w:val="22"/>
                <w:shd w:val="clear" w:color="auto" w:fill="FFFFFF"/>
              </w:rPr>
            </w:pPr>
            <w:r w:rsidRPr="00757371">
              <w:rPr>
                <w:rFonts w:asciiTheme="minorHAnsi" w:hAnsiTheme="minorHAnsi" w:cs="Arial"/>
                <w:sz w:val="22"/>
                <w:szCs w:val="22"/>
                <w:shd w:val="clear" w:color="auto" w:fill="FFFFFF"/>
              </w:rPr>
              <w:t>The CFPB has issued two new reports concerning student loans.  The first report, “</w:t>
            </w:r>
            <w:hyperlink r:id="rId22" w:history="1">
              <w:r w:rsidRPr="00757371">
                <w:rPr>
                  <w:rStyle w:val="Hyperlink"/>
                  <w:rFonts w:asciiTheme="minorHAnsi" w:hAnsiTheme="minorHAnsi" w:cs="Arial"/>
                  <w:sz w:val="22"/>
                  <w:szCs w:val="22"/>
                  <w:shd w:val="clear" w:color="auto" w:fill="FFFFFF"/>
                </w:rPr>
                <w:t>CFPB Data Point: Student Loan Repayment</w:t>
              </w:r>
            </w:hyperlink>
            <w:r w:rsidRPr="00757371">
              <w:rPr>
                <w:rFonts w:asciiTheme="minorHAnsi" w:hAnsiTheme="minorHAnsi" w:cs="Arial"/>
                <w:sz w:val="22"/>
                <w:szCs w:val="22"/>
                <w:shd w:val="clear" w:color="auto" w:fill="FFFFFF"/>
              </w:rPr>
              <w:t>,” examines how the payment patterns of student loan borrowers have changed over the last 14 years.  The second report, “</w:t>
            </w:r>
            <w:hyperlink r:id="rId23" w:history="1">
              <w:r w:rsidRPr="00757371">
                <w:rPr>
                  <w:rStyle w:val="Hyperlink"/>
                  <w:rFonts w:asciiTheme="minorHAnsi" w:hAnsiTheme="minorHAnsi" w:cs="Arial"/>
                  <w:sz w:val="22"/>
                  <w:szCs w:val="22"/>
                  <w:shd w:val="clear" w:color="auto" w:fill="FFFFFF"/>
                </w:rPr>
                <w:t>Innovation highlights: Emerging student loan repayment assistance programs</w:t>
              </w:r>
            </w:hyperlink>
            <w:r w:rsidRPr="00757371">
              <w:rPr>
                <w:rFonts w:asciiTheme="minorHAnsi" w:hAnsiTheme="minorHAnsi" w:cs="Arial"/>
                <w:sz w:val="22"/>
                <w:szCs w:val="22"/>
                <w:shd w:val="clear" w:color="auto" w:fill="FFFFFF"/>
              </w:rPr>
              <w:t>,” discusses assistance programs offered by employers and other third parties and makes recommendations to student loan companies, student loan servicers, policy makers, and third-party assistance program providers and administrators for improving the operation of such programs.</w:t>
            </w:r>
          </w:p>
        </w:tc>
      </w:tr>
      <w:tr w:rsidR="001B4818" w:rsidRPr="00967605" w:rsidTr="000C6F62">
        <w:tc>
          <w:tcPr>
            <w:tcW w:w="2283" w:type="dxa"/>
          </w:tcPr>
          <w:p w:rsidR="001B4818" w:rsidRDefault="001B4818" w:rsidP="00413996"/>
        </w:tc>
        <w:tc>
          <w:tcPr>
            <w:tcW w:w="10875" w:type="dxa"/>
          </w:tcPr>
          <w:p w:rsidR="001B4818" w:rsidRPr="00015DF3" w:rsidRDefault="001B4818" w:rsidP="00015DF3">
            <w:pPr>
              <w:pStyle w:val="NormalWeb"/>
              <w:spacing w:after="0"/>
              <w:rPr>
                <w:rFonts w:asciiTheme="minorHAnsi" w:hAnsiTheme="minorHAnsi" w:cs="Arial"/>
                <w:sz w:val="22"/>
                <w:szCs w:val="22"/>
                <w:shd w:val="clear" w:color="auto" w:fill="FFFFFF"/>
              </w:rPr>
            </w:pPr>
          </w:p>
        </w:tc>
      </w:tr>
    </w:tbl>
    <w:p w:rsidR="006A2918" w:rsidRDefault="006A2918" w:rsidP="00D1188B"/>
    <w:tbl>
      <w:tblPr>
        <w:tblStyle w:val="TableGrid"/>
        <w:tblW w:w="13078" w:type="dxa"/>
        <w:tblLook w:val="04A0" w:firstRow="1" w:lastRow="0" w:firstColumn="1" w:lastColumn="0" w:noHBand="0" w:noVBand="1"/>
      </w:tblPr>
      <w:tblGrid>
        <w:gridCol w:w="2172"/>
        <w:gridCol w:w="6545"/>
        <w:gridCol w:w="4361"/>
      </w:tblGrid>
      <w:tr w:rsidR="00F517EF" w:rsidTr="00F517EF">
        <w:trPr>
          <w:trHeight w:val="236"/>
        </w:trPr>
        <w:tc>
          <w:tcPr>
            <w:tcW w:w="13078" w:type="dxa"/>
            <w:gridSpan w:val="3"/>
            <w:shd w:val="clear" w:color="auto" w:fill="4F81BD" w:themeFill="accent1"/>
          </w:tcPr>
          <w:p w:rsidR="00F517EF" w:rsidRDefault="00F517EF" w:rsidP="006A2918">
            <w:pPr>
              <w:keepLines/>
              <w:jc w:val="center"/>
            </w:pPr>
            <w:r w:rsidRPr="003F6BB7">
              <w:rPr>
                <w:color w:val="FFFFFF" w:themeColor="background1"/>
              </w:rPr>
              <w:lastRenderedPageBreak/>
              <w:t>Oregon</w:t>
            </w:r>
          </w:p>
        </w:tc>
      </w:tr>
      <w:tr w:rsidR="00DB5E19" w:rsidTr="006A2918">
        <w:trPr>
          <w:trHeight w:val="944"/>
        </w:trPr>
        <w:tc>
          <w:tcPr>
            <w:tcW w:w="2172" w:type="dxa"/>
          </w:tcPr>
          <w:p w:rsidR="00DB5E19" w:rsidRPr="005B6004" w:rsidRDefault="00D30737" w:rsidP="006A2918">
            <w:pPr>
              <w:keepLines/>
              <w:rPr>
                <w:strike/>
              </w:rPr>
            </w:pPr>
            <w:hyperlink r:id="rId24" w:history="1">
              <w:r w:rsidR="00DB5E19" w:rsidRPr="005B6004">
                <w:rPr>
                  <w:rStyle w:val="Hyperlink"/>
                  <w:strike/>
                </w:rPr>
                <w:t>HB 2581</w:t>
              </w:r>
            </w:hyperlink>
          </w:p>
        </w:tc>
        <w:tc>
          <w:tcPr>
            <w:tcW w:w="6545" w:type="dxa"/>
          </w:tcPr>
          <w:p w:rsidR="00DB5E19" w:rsidRPr="005B6004" w:rsidRDefault="00DB5E19" w:rsidP="006A2918">
            <w:pPr>
              <w:keepLines/>
              <w:rPr>
                <w:strike/>
              </w:rPr>
            </w:pPr>
            <w:r w:rsidRPr="005B6004">
              <w:rPr>
                <w:strike/>
              </w:rPr>
              <w:t>Would require a person that possesses or has access to account information to report breach of security to the financial institution that issued financial access device.  Person includes:  an individual, a private or public corporation, partnership, cooperative, association, estate, limited liability company, organization or other entity.</w:t>
            </w:r>
          </w:p>
        </w:tc>
        <w:tc>
          <w:tcPr>
            <w:tcW w:w="4361" w:type="dxa"/>
          </w:tcPr>
          <w:p w:rsidR="00C56584" w:rsidRPr="005B6004" w:rsidRDefault="00EE48A8" w:rsidP="006A2918">
            <w:pPr>
              <w:keepLines/>
              <w:rPr>
                <w:strike/>
              </w:rPr>
            </w:pPr>
            <w:r w:rsidRPr="005B6004">
              <w:rPr>
                <w:strike/>
              </w:rPr>
              <w:t>In Committee upon adjournment</w:t>
            </w:r>
          </w:p>
        </w:tc>
      </w:tr>
      <w:tr w:rsidR="006A2918" w:rsidTr="006A2918">
        <w:trPr>
          <w:trHeight w:val="944"/>
        </w:trPr>
        <w:tc>
          <w:tcPr>
            <w:tcW w:w="2172" w:type="dxa"/>
          </w:tcPr>
          <w:p w:rsidR="006A2918" w:rsidRDefault="00D30737" w:rsidP="006A2918">
            <w:pPr>
              <w:keepLines/>
            </w:pPr>
            <w:hyperlink r:id="rId25" w:history="1">
              <w:r w:rsidR="006A2918" w:rsidRPr="006A2918">
                <w:rPr>
                  <w:rStyle w:val="Hyperlink"/>
                </w:rPr>
                <w:t>HB 2161</w:t>
              </w:r>
            </w:hyperlink>
          </w:p>
        </w:tc>
        <w:tc>
          <w:tcPr>
            <w:tcW w:w="6545" w:type="dxa"/>
          </w:tcPr>
          <w:p w:rsidR="006A2918" w:rsidRPr="000014AF" w:rsidRDefault="006A2918" w:rsidP="006A2918">
            <w:pPr>
              <w:keepLines/>
            </w:pPr>
            <w:r w:rsidRPr="006A2918">
              <w:t>Included in the Bill are a provision allowing the expulsion of a member that creates undue risk of loss, the elimination of the requirement that the credit union’s board of directors meets 10 times a year, and changes the date for exercise by state credit unions of powers available to federal credit unions without director approval to January 1, 2017, from January 1, 2013.</w:t>
            </w:r>
          </w:p>
        </w:tc>
        <w:tc>
          <w:tcPr>
            <w:tcW w:w="4361" w:type="dxa"/>
          </w:tcPr>
          <w:p w:rsidR="006A2918" w:rsidRPr="00562BB0" w:rsidRDefault="0044667C" w:rsidP="006A2918">
            <w:pPr>
              <w:keepLines/>
              <w:rPr>
                <w:b/>
              </w:rPr>
            </w:pPr>
            <w:r>
              <w:rPr>
                <w:b/>
              </w:rPr>
              <w:t>Enacted</w:t>
            </w:r>
            <w:r w:rsidR="00562BB0" w:rsidRPr="00562BB0">
              <w:rPr>
                <w:b/>
              </w:rPr>
              <w:t xml:space="preserve"> – Effective 01/01/2018</w:t>
            </w:r>
          </w:p>
        </w:tc>
      </w:tr>
      <w:tr w:rsidR="00F517EF" w:rsidTr="006A2918">
        <w:trPr>
          <w:trHeight w:val="944"/>
        </w:trPr>
        <w:tc>
          <w:tcPr>
            <w:tcW w:w="2172" w:type="dxa"/>
          </w:tcPr>
          <w:p w:rsidR="00F517EF" w:rsidRDefault="00D30737" w:rsidP="006A2918">
            <w:pPr>
              <w:keepLines/>
            </w:pPr>
            <w:hyperlink r:id="rId26" w:history="1">
              <w:r w:rsidR="00F517EF" w:rsidRPr="000014AF">
                <w:rPr>
                  <w:rStyle w:val="Hyperlink"/>
                </w:rPr>
                <w:t>HB 2359</w:t>
              </w:r>
            </w:hyperlink>
          </w:p>
        </w:tc>
        <w:tc>
          <w:tcPr>
            <w:tcW w:w="6545" w:type="dxa"/>
          </w:tcPr>
          <w:p w:rsidR="00F517EF" w:rsidRDefault="00F517EF" w:rsidP="006A2918">
            <w:pPr>
              <w:keepLines/>
            </w:pPr>
            <w:r w:rsidRPr="000014AF">
              <w:t>Removes requirement for beneficiary in trust deed to send, and Attorney General to receive, copy of notice that beneficiary has denied grantor's eligibility for foreclosure avoidance measure.</w:t>
            </w:r>
          </w:p>
        </w:tc>
        <w:tc>
          <w:tcPr>
            <w:tcW w:w="4361" w:type="dxa"/>
          </w:tcPr>
          <w:p w:rsidR="00C56584" w:rsidRPr="0044667C" w:rsidRDefault="0044667C" w:rsidP="006A2918">
            <w:pPr>
              <w:keepLines/>
              <w:rPr>
                <w:b/>
              </w:rPr>
            </w:pPr>
            <w:r w:rsidRPr="0044667C">
              <w:rPr>
                <w:b/>
              </w:rPr>
              <w:t>Enacted</w:t>
            </w:r>
          </w:p>
        </w:tc>
      </w:tr>
      <w:tr w:rsidR="00F517EF" w:rsidTr="006A2918">
        <w:trPr>
          <w:trHeight w:val="236"/>
        </w:trPr>
        <w:tc>
          <w:tcPr>
            <w:tcW w:w="2172" w:type="dxa"/>
          </w:tcPr>
          <w:p w:rsidR="00F517EF" w:rsidRDefault="00D30737" w:rsidP="006A2918">
            <w:pPr>
              <w:keepLines/>
            </w:pPr>
            <w:hyperlink r:id="rId27" w:history="1">
              <w:r w:rsidR="00F517EF" w:rsidRPr="000014AF">
                <w:rPr>
                  <w:rStyle w:val="Hyperlink"/>
                </w:rPr>
                <w:t>HB 2624</w:t>
              </w:r>
            </w:hyperlink>
          </w:p>
        </w:tc>
        <w:tc>
          <w:tcPr>
            <w:tcW w:w="6545" w:type="dxa"/>
          </w:tcPr>
          <w:p w:rsidR="00F517EF" w:rsidRDefault="00F517EF" w:rsidP="006A2918">
            <w:pPr>
              <w:keepLines/>
            </w:pPr>
            <w:r w:rsidRPr="000014AF">
              <w:t>Exempts out-of-state banks, extranational institutions and foreign associations from requirement to file notice before dealing in notes secured by mortgages or trust deeds, if authorized to conduct banking business in this state by certificate of Department of Consumer and Business Services.</w:t>
            </w:r>
          </w:p>
        </w:tc>
        <w:tc>
          <w:tcPr>
            <w:tcW w:w="4361" w:type="dxa"/>
          </w:tcPr>
          <w:p w:rsidR="00C56584" w:rsidRPr="0044667C" w:rsidRDefault="00EE48A8" w:rsidP="006A2918">
            <w:pPr>
              <w:keepLines/>
              <w:rPr>
                <w:b/>
              </w:rPr>
            </w:pPr>
            <w:r>
              <w:rPr>
                <w:b/>
              </w:rPr>
              <w:t>Enacted – Effective 01/01/2018</w:t>
            </w:r>
          </w:p>
        </w:tc>
      </w:tr>
      <w:tr w:rsidR="00F517EF" w:rsidTr="006A2918">
        <w:trPr>
          <w:trHeight w:val="242"/>
        </w:trPr>
        <w:tc>
          <w:tcPr>
            <w:tcW w:w="2172" w:type="dxa"/>
          </w:tcPr>
          <w:p w:rsidR="00F517EF" w:rsidRDefault="00D30737" w:rsidP="006A2918">
            <w:pPr>
              <w:keepLines/>
            </w:pPr>
            <w:hyperlink r:id="rId28" w:history="1">
              <w:r w:rsidR="00F517EF" w:rsidRPr="000014AF">
                <w:rPr>
                  <w:rStyle w:val="Hyperlink"/>
                </w:rPr>
                <w:t>HB 2622</w:t>
              </w:r>
            </w:hyperlink>
          </w:p>
        </w:tc>
        <w:tc>
          <w:tcPr>
            <w:tcW w:w="6545" w:type="dxa"/>
          </w:tcPr>
          <w:p w:rsidR="00F517EF" w:rsidRDefault="00F517EF" w:rsidP="006A2918">
            <w:pPr>
              <w:keepLines/>
            </w:pPr>
            <w:r w:rsidRPr="000014AF">
              <w:t>Authorizes financial institution to refuse certain financial transactions when financial institution reasonably believes financial exploitation of vulnerable person may have occurred, may have been attempted or is being attempted.</w:t>
            </w:r>
          </w:p>
        </w:tc>
        <w:tc>
          <w:tcPr>
            <w:tcW w:w="4361" w:type="dxa"/>
          </w:tcPr>
          <w:p w:rsidR="005958A6" w:rsidRDefault="00B67699" w:rsidP="006A2918">
            <w:pPr>
              <w:keepLines/>
            </w:pPr>
            <w:r>
              <w:rPr>
                <w:b/>
              </w:rPr>
              <w:t>Enacted – Effective 06/14/2017</w:t>
            </w:r>
          </w:p>
        </w:tc>
      </w:tr>
      <w:tr w:rsidR="00F517EF" w:rsidTr="006A2918">
        <w:trPr>
          <w:trHeight w:val="236"/>
        </w:trPr>
        <w:tc>
          <w:tcPr>
            <w:tcW w:w="2172" w:type="dxa"/>
          </w:tcPr>
          <w:p w:rsidR="00F517EF" w:rsidRDefault="00D30737" w:rsidP="006A2918">
            <w:pPr>
              <w:keepLines/>
            </w:pPr>
            <w:hyperlink r:id="rId29" w:history="1">
              <w:r w:rsidR="00F517EF" w:rsidRPr="000014AF">
                <w:rPr>
                  <w:rStyle w:val="Hyperlink"/>
                </w:rPr>
                <w:t>HB 2229</w:t>
              </w:r>
            </w:hyperlink>
          </w:p>
        </w:tc>
        <w:tc>
          <w:tcPr>
            <w:tcW w:w="6545" w:type="dxa"/>
          </w:tcPr>
          <w:p w:rsidR="00F517EF" w:rsidRDefault="00F517EF" w:rsidP="006A2918">
            <w:pPr>
              <w:keepLines/>
            </w:pPr>
            <w:r w:rsidRPr="000014AF">
              <w:t>Requires school districts to offer instruction in financial literacy.</w:t>
            </w:r>
          </w:p>
        </w:tc>
        <w:tc>
          <w:tcPr>
            <w:tcW w:w="4361" w:type="dxa"/>
          </w:tcPr>
          <w:p w:rsidR="00C56584" w:rsidRPr="0044667C" w:rsidRDefault="0044667C" w:rsidP="006A2918">
            <w:pPr>
              <w:keepLines/>
              <w:rPr>
                <w:b/>
              </w:rPr>
            </w:pPr>
            <w:r w:rsidRPr="0044667C">
              <w:rPr>
                <w:b/>
              </w:rPr>
              <w:t>Enacted</w:t>
            </w:r>
          </w:p>
        </w:tc>
      </w:tr>
      <w:tr w:rsidR="00F517EF" w:rsidTr="006A2918">
        <w:trPr>
          <w:trHeight w:val="236"/>
        </w:trPr>
        <w:tc>
          <w:tcPr>
            <w:tcW w:w="2172" w:type="dxa"/>
          </w:tcPr>
          <w:p w:rsidR="00F517EF" w:rsidRDefault="00D30737" w:rsidP="006A2918">
            <w:pPr>
              <w:keepLines/>
            </w:pPr>
            <w:hyperlink r:id="rId30" w:history="1">
              <w:r w:rsidR="00F517EF" w:rsidRPr="00B90741">
                <w:rPr>
                  <w:rStyle w:val="Hyperlink"/>
                </w:rPr>
                <w:t>HB 2346</w:t>
              </w:r>
            </w:hyperlink>
          </w:p>
        </w:tc>
        <w:tc>
          <w:tcPr>
            <w:tcW w:w="6545" w:type="dxa"/>
          </w:tcPr>
          <w:p w:rsidR="00F517EF" w:rsidRDefault="00F517EF" w:rsidP="006A2918">
            <w:pPr>
              <w:keepLines/>
            </w:pPr>
            <w:r w:rsidRPr="00B90741">
              <w:t>Directs insured institution or credit union to accept declaration rather than affidavit from Department of Human Services or Oregon Health Authority to pay claim on death of depositor.</w:t>
            </w:r>
          </w:p>
        </w:tc>
        <w:tc>
          <w:tcPr>
            <w:tcW w:w="4361" w:type="dxa"/>
          </w:tcPr>
          <w:p w:rsidR="00C56584" w:rsidRPr="0044667C" w:rsidRDefault="0044667C" w:rsidP="006A2918">
            <w:pPr>
              <w:keepLines/>
              <w:rPr>
                <w:b/>
              </w:rPr>
            </w:pPr>
            <w:r w:rsidRPr="0044667C">
              <w:rPr>
                <w:b/>
              </w:rPr>
              <w:t>Enacted – Effective 01/01/2018</w:t>
            </w:r>
          </w:p>
        </w:tc>
      </w:tr>
      <w:tr w:rsidR="00B975E7" w:rsidTr="006A2918">
        <w:trPr>
          <w:trHeight w:val="236"/>
        </w:trPr>
        <w:tc>
          <w:tcPr>
            <w:tcW w:w="2172" w:type="dxa"/>
          </w:tcPr>
          <w:p w:rsidR="00B975E7" w:rsidRPr="005B6004" w:rsidRDefault="00D30737" w:rsidP="006A2918">
            <w:pPr>
              <w:keepLines/>
              <w:rPr>
                <w:strike/>
              </w:rPr>
            </w:pPr>
            <w:hyperlink r:id="rId31" w:history="1">
              <w:r w:rsidR="00B975E7" w:rsidRPr="005B6004">
                <w:rPr>
                  <w:rStyle w:val="Hyperlink"/>
                  <w:strike/>
                </w:rPr>
                <w:t>SB 113</w:t>
              </w:r>
            </w:hyperlink>
          </w:p>
        </w:tc>
        <w:tc>
          <w:tcPr>
            <w:tcW w:w="6545" w:type="dxa"/>
          </w:tcPr>
          <w:p w:rsidR="00B975E7" w:rsidRPr="005B6004" w:rsidRDefault="00B975E7" w:rsidP="006A2918">
            <w:pPr>
              <w:keepLines/>
              <w:rPr>
                <w:strike/>
              </w:rPr>
            </w:pPr>
            <w:r w:rsidRPr="005B6004">
              <w:rPr>
                <w:strike/>
              </w:rPr>
              <w:t>Provides that person identified in gift card as providing goods or services shall transfer to Department of State Lands remaining balance of gift card that cardholder has not used within five years after date of last transaction that used gift card for purchase.</w:t>
            </w:r>
          </w:p>
        </w:tc>
        <w:tc>
          <w:tcPr>
            <w:tcW w:w="4361" w:type="dxa"/>
          </w:tcPr>
          <w:p w:rsidR="00B975E7" w:rsidRPr="005B6004" w:rsidRDefault="00EE48A8" w:rsidP="006A2918">
            <w:pPr>
              <w:keepLines/>
              <w:rPr>
                <w:strike/>
              </w:rPr>
            </w:pPr>
            <w:r w:rsidRPr="005B6004">
              <w:rPr>
                <w:strike/>
              </w:rPr>
              <w:t>In Committee upon adjournment</w:t>
            </w:r>
          </w:p>
        </w:tc>
      </w:tr>
      <w:tr w:rsidR="00B975E7" w:rsidTr="006A2918">
        <w:trPr>
          <w:trHeight w:val="236"/>
        </w:trPr>
        <w:tc>
          <w:tcPr>
            <w:tcW w:w="2172" w:type="dxa"/>
          </w:tcPr>
          <w:p w:rsidR="00B975E7" w:rsidRDefault="00D30737" w:rsidP="006A2918">
            <w:pPr>
              <w:keepLines/>
            </w:pPr>
            <w:hyperlink r:id="rId32" w:history="1">
              <w:r w:rsidR="00B975E7" w:rsidRPr="00B975E7">
                <w:rPr>
                  <w:rStyle w:val="Hyperlink"/>
                </w:rPr>
                <w:t>SB 254</w:t>
              </w:r>
            </w:hyperlink>
          </w:p>
        </w:tc>
        <w:tc>
          <w:tcPr>
            <w:tcW w:w="6545" w:type="dxa"/>
          </w:tcPr>
          <w:p w:rsidR="00B975E7" w:rsidRPr="00B90741" w:rsidRDefault="00B975E7" w:rsidP="006A2918">
            <w:pPr>
              <w:keepLines/>
            </w:pPr>
            <w:r w:rsidRPr="00B975E7">
              <w:t>Requires financial institutions to participate in data match system established by Department of Revenue to identify assets held at financial institutions by delinquent debtors.</w:t>
            </w:r>
          </w:p>
        </w:tc>
        <w:tc>
          <w:tcPr>
            <w:tcW w:w="4361" w:type="dxa"/>
          </w:tcPr>
          <w:p w:rsidR="00B975E7" w:rsidRPr="0044667C" w:rsidRDefault="005B6004" w:rsidP="006A2918">
            <w:pPr>
              <w:keepLines/>
              <w:rPr>
                <w:b/>
              </w:rPr>
            </w:pPr>
            <w:r>
              <w:rPr>
                <w:b/>
              </w:rPr>
              <w:t>Enacted – Effective 10/06/17</w:t>
            </w:r>
          </w:p>
        </w:tc>
      </w:tr>
      <w:tr w:rsidR="00F517EF" w:rsidTr="00F517EF">
        <w:trPr>
          <w:trHeight w:val="236"/>
        </w:trPr>
        <w:tc>
          <w:tcPr>
            <w:tcW w:w="13078" w:type="dxa"/>
            <w:gridSpan w:val="3"/>
            <w:shd w:val="clear" w:color="auto" w:fill="4F81BD" w:themeFill="accent1"/>
          </w:tcPr>
          <w:p w:rsidR="00F517EF" w:rsidRDefault="00F517EF" w:rsidP="006A2918">
            <w:pPr>
              <w:keepLines/>
              <w:jc w:val="center"/>
            </w:pPr>
            <w:r w:rsidRPr="007F4DB2">
              <w:rPr>
                <w:color w:val="FFFFFF" w:themeColor="background1"/>
              </w:rPr>
              <w:t>Washington</w:t>
            </w:r>
          </w:p>
        </w:tc>
      </w:tr>
      <w:tr w:rsidR="00F517EF" w:rsidTr="006A2918">
        <w:trPr>
          <w:trHeight w:val="236"/>
        </w:trPr>
        <w:tc>
          <w:tcPr>
            <w:tcW w:w="2172" w:type="dxa"/>
          </w:tcPr>
          <w:p w:rsidR="00F517EF" w:rsidRDefault="00D30737" w:rsidP="006A2918">
            <w:pPr>
              <w:keepLines/>
            </w:pPr>
            <w:hyperlink r:id="rId33" w:history="1">
              <w:r w:rsidR="00F517EF" w:rsidRPr="007F4DB2">
                <w:rPr>
                  <w:rStyle w:val="Hyperlink"/>
                </w:rPr>
                <w:t>HB 1209</w:t>
              </w:r>
            </w:hyperlink>
          </w:p>
          <w:p w:rsidR="00F517EF" w:rsidRDefault="00F517EF" w:rsidP="006A2918">
            <w:pPr>
              <w:keepLines/>
            </w:pPr>
            <w:r>
              <w:t>SB 5396</w:t>
            </w:r>
          </w:p>
        </w:tc>
        <w:tc>
          <w:tcPr>
            <w:tcW w:w="6545" w:type="dxa"/>
          </w:tcPr>
          <w:p w:rsidR="00F517EF" w:rsidRDefault="00F517EF" w:rsidP="006A2918">
            <w:pPr>
              <w:keepLines/>
            </w:pPr>
            <w:r>
              <w:t>Allow credit unions to accept public deposits that exceed the maximum deposit insured by the NCUA share insurance fund.</w:t>
            </w:r>
          </w:p>
        </w:tc>
        <w:tc>
          <w:tcPr>
            <w:tcW w:w="4361" w:type="dxa"/>
          </w:tcPr>
          <w:p w:rsidR="00F517EF" w:rsidRPr="00B67699" w:rsidRDefault="00980B64" w:rsidP="006A2918">
            <w:pPr>
              <w:keepLines/>
              <w:rPr>
                <w:b/>
              </w:rPr>
            </w:pPr>
            <w:r w:rsidRPr="00B67699">
              <w:rPr>
                <w:b/>
              </w:rPr>
              <w:t xml:space="preserve">SHB </w:t>
            </w:r>
            <w:r w:rsidR="00F517EF" w:rsidRPr="00B67699">
              <w:rPr>
                <w:b/>
              </w:rPr>
              <w:t>Passed House</w:t>
            </w:r>
          </w:p>
          <w:p w:rsidR="00F517EF" w:rsidRDefault="00C56584" w:rsidP="006A2918">
            <w:pPr>
              <w:keepLines/>
            </w:pPr>
            <w:r w:rsidRPr="00B67699">
              <w:rPr>
                <w:b/>
              </w:rPr>
              <w:t>Reintroduced in</w:t>
            </w:r>
            <w:r w:rsidR="00B67699" w:rsidRPr="00B67699">
              <w:rPr>
                <w:b/>
              </w:rPr>
              <w:t xml:space="preserve"> 3</w:t>
            </w:r>
            <w:proofErr w:type="gramStart"/>
            <w:r w:rsidR="00B67699" w:rsidRPr="00B67699">
              <w:rPr>
                <w:b/>
                <w:vertAlign w:val="superscript"/>
              </w:rPr>
              <w:t>rd</w:t>
            </w:r>
            <w:r w:rsidR="00B67699" w:rsidRPr="00B67699">
              <w:rPr>
                <w:b/>
              </w:rPr>
              <w:t xml:space="preserve">  special</w:t>
            </w:r>
            <w:proofErr w:type="gramEnd"/>
            <w:r w:rsidR="00B67699" w:rsidRPr="00B67699">
              <w:rPr>
                <w:b/>
              </w:rPr>
              <w:t xml:space="preserve"> session (06/21)</w:t>
            </w:r>
          </w:p>
        </w:tc>
      </w:tr>
      <w:tr w:rsidR="00F517EF" w:rsidTr="006A2918">
        <w:trPr>
          <w:trHeight w:val="236"/>
        </w:trPr>
        <w:tc>
          <w:tcPr>
            <w:tcW w:w="2172" w:type="dxa"/>
          </w:tcPr>
          <w:p w:rsidR="00F517EF" w:rsidRDefault="00D30737" w:rsidP="006A2918">
            <w:pPr>
              <w:keepLines/>
            </w:pPr>
            <w:hyperlink r:id="rId34" w:history="1">
              <w:r w:rsidR="00F517EF" w:rsidRPr="007F4DB2">
                <w:rPr>
                  <w:rStyle w:val="Hyperlink"/>
                </w:rPr>
                <w:t>HB 1318</w:t>
              </w:r>
            </w:hyperlink>
          </w:p>
        </w:tc>
        <w:tc>
          <w:tcPr>
            <w:tcW w:w="6545" w:type="dxa"/>
          </w:tcPr>
          <w:p w:rsidR="00F517EF" w:rsidRPr="00980B64" w:rsidRDefault="00F517EF" w:rsidP="006A2918">
            <w:pPr>
              <w:keepLines/>
              <w:rPr>
                <w:strike/>
              </w:rPr>
            </w:pPr>
            <w:r w:rsidRPr="00980B64">
              <w:rPr>
                <w:strike/>
              </w:rPr>
              <w:t xml:space="preserve">Allow state-chartered credit unions to accept supplemental capital to build net worth.  </w:t>
            </w:r>
          </w:p>
        </w:tc>
        <w:tc>
          <w:tcPr>
            <w:tcW w:w="4361" w:type="dxa"/>
          </w:tcPr>
          <w:p w:rsidR="00F517EF" w:rsidRPr="00AE3001" w:rsidRDefault="00F517EF" w:rsidP="006A2918">
            <w:pPr>
              <w:keepLines/>
              <w:rPr>
                <w:strike/>
              </w:rPr>
            </w:pPr>
            <w:r w:rsidRPr="00AE3001">
              <w:rPr>
                <w:strike/>
              </w:rPr>
              <w:t>In House Committee</w:t>
            </w:r>
            <w:r w:rsidR="00980B64" w:rsidRPr="00AE3001">
              <w:rPr>
                <w:strike/>
              </w:rPr>
              <w:t xml:space="preserve"> </w:t>
            </w:r>
          </w:p>
        </w:tc>
      </w:tr>
      <w:tr w:rsidR="00F517EF" w:rsidTr="006A2918">
        <w:trPr>
          <w:trHeight w:val="236"/>
        </w:trPr>
        <w:tc>
          <w:tcPr>
            <w:tcW w:w="2172" w:type="dxa"/>
          </w:tcPr>
          <w:p w:rsidR="00F517EF" w:rsidRDefault="00D30737" w:rsidP="006A2918">
            <w:pPr>
              <w:keepLines/>
            </w:pPr>
            <w:hyperlink r:id="rId35" w:history="1">
              <w:r w:rsidR="00992B33" w:rsidRPr="00012AE5">
                <w:rPr>
                  <w:rStyle w:val="Hyperlink"/>
                </w:rPr>
                <w:t>SSB 5031</w:t>
              </w:r>
            </w:hyperlink>
          </w:p>
        </w:tc>
        <w:tc>
          <w:tcPr>
            <w:tcW w:w="6545" w:type="dxa"/>
          </w:tcPr>
          <w:p w:rsidR="00F517EF" w:rsidRDefault="00182997" w:rsidP="006A2918">
            <w:pPr>
              <w:keepLines/>
            </w:pPr>
            <w:r>
              <w:t>Brings virtual currency under the state’s Uniform Money Services Act</w:t>
            </w:r>
          </w:p>
        </w:tc>
        <w:tc>
          <w:tcPr>
            <w:tcW w:w="4361" w:type="dxa"/>
          </w:tcPr>
          <w:p w:rsidR="00F517EF" w:rsidRPr="00B67699" w:rsidRDefault="00182997" w:rsidP="006A2918">
            <w:pPr>
              <w:keepLines/>
              <w:rPr>
                <w:b/>
              </w:rPr>
            </w:pPr>
            <w:r w:rsidRPr="00B67699">
              <w:rPr>
                <w:b/>
              </w:rPr>
              <w:t>Enacted – Effective 7/23/17</w:t>
            </w:r>
          </w:p>
        </w:tc>
      </w:tr>
      <w:tr w:rsidR="00F517EF" w:rsidTr="006A2918">
        <w:trPr>
          <w:trHeight w:val="236"/>
        </w:trPr>
        <w:tc>
          <w:tcPr>
            <w:tcW w:w="2172" w:type="dxa"/>
          </w:tcPr>
          <w:p w:rsidR="00F517EF" w:rsidRDefault="00D30737" w:rsidP="006A2918">
            <w:pPr>
              <w:keepLines/>
            </w:pPr>
            <w:hyperlink r:id="rId36" w:history="1">
              <w:r w:rsidR="00495CD2" w:rsidRPr="00495CD2">
                <w:rPr>
                  <w:rStyle w:val="Hyperlink"/>
                </w:rPr>
                <w:t>SB 5144</w:t>
              </w:r>
            </w:hyperlink>
          </w:p>
        </w:tc>
        <w:tc>
          <w:tcPr>
            <w:tcW w:w="6545" w:type="dxa"/>
          </w:tcPr>
          <w:p w:rsidR="00F517EF" w:rsidRDefault="0035707A" w:rsidP="006A2918">
            <w:pPr>
              <w:keepLines/>
            </w:pPr>
            <w:r>
              <w:t>Updates the Washington Credit Union Act.  Corrects the use of “director” in the rule’s text, removes reference to membership shares, amends rules for special membership meetings, and adds new provisions to supervisory committee roles.</w:t>
            </w:r>
          </w:p>
        </w:tc>
        <w:tc>
          <w:tcPr>
            <w:tcW w:w="4361" w:type="dxa"/>
          </w:tcPr>
          <w:p w:rsidR="00F517EF" w:rsidRPr="00B67699" w:rsidRDefault="0035707A" w:rsidP="006A2918">
            <w:pPr>
              <w:keepLines/>
              <w:rPr>
                <w:b/>
              </w:rPr>
            </w:pPr>
            <w:r w:rsidRPr="00B67699">
              <w:rPr>
                <w:b/>
              </w:rPr>
              <w:t>Enacted – Effective 07/23/17</w:t>
            </w:r>
          </w:p>
        </w:tc>
      </w:tr>
      <w:tr w:rsidR="0035707A" w:rsidTr="006A2918">
        <w:trPr>
          <w:trHeight w:val="236"/>
        </w:trPr>
        <w:tc>
          <w:tcPr>
            <w:tcW w:w="2172" w:type="dxa"/>
          </w:tcPr>
          <w:p w:rsidR="0035707A" w:rsidRDefault="00D30737" w:rsidP="0035707A">
            <w:pPr>
              <w:keepLines/>
            </w:pPr>
            <w:hyperlink r:id="rId37" w:history="1">
              <w:r w:rsidR="0035707A" w:rsidRPr="0035707A">
                <w:rPr>
                  <w:rStyle w:val="Hyperlink"/>
                </w:rPr>
                <w:t>SB 5081</w:t>
              </w:r>
            </w:hyperlink>
          </w:p>
        </w:tc>
        <w:tc>
          <w:tcPr>
            <w:tcW w:w="6545" w:type="dxa"/>
          </w:tcPr>
          <w:p w:rsidR="0035707A" w:rsidRDefault="0035707A" w:rsidP="0035707A">
            <w:pPr>
              <w:keepLines/>
            </w:pPr>
            <w:r w:rsidRPr="00494DA3">
              <w:t xml:space="preserve">Washington State passed Substitute Senate Bill 5081, dealing with notarial acts.  The bill adopts (mostly) the Revised Uniform Law on Notarial Acts (RULONA).  Included in the bill is a provision for electronic notaries.  </w:t>
            </w:r>
          </w:p>
        </w:tc>
        <w:tc>
          <w:tcPr>
            <w:tcW w:w="4361" w:type="dxa"/>
          </w:tcPr>
          <w:p w:rsidR="0035707A" w:rsidRPr="00B67699" w:rsidRDefault="0035707A" w:rsidP="0035707A">
            <w:pPr>
              <w:keepLines/>
              <w:rPr>
                <w:b/>
              </w:rPr>
            </w:pPr>
            <w:r w:rsidRPr="00B67699">
              <w:rPr>
                <w:b/>
              </w:rPr>
              <w:t>Enacted – Effective 07/01/18</w:t>
            </w:r>
          </w:p>
        </w:tc>
      </w:tr>
      <w:tr w:rsidR="0035707A" w:rsidTr="006A2918">
        <w:trPr>
          <w:trHeight w:val="236"/>
        </w:trPr>
        <w:tc>
          <w:tcPr>
            <w:tcW w:w="2172" w:type="dxa"/>
          </w:tcPr>
          <w:p w:rsidR="0035707A" w:rsidRDefault="00D30737" w:rsidP="0035707A">
            <w:pPr>
              <w:keepLines/>
            </w:pPr>
            <w:hyperlink r:id="rId38" w:history="1">
              <w:r w:rsidR="0035707A" w:rsidRPr="0035707A">
                <w:rPr>
                  <w:rStyle w:val="Hyperlink"/>
                </w:rPr>
                <w:t>SB 5343</w:t>
              </w:r>
            </w:hyperlink>
          </w:p>
        </w:tc>
        <w:tc>
          <w:tcPr>
            <w:tcW w:w="6545" w:type="dxa"/>
          </w:tcPr>
          <w:p w:rsidR="0035707A" w:rsidRDefault="0035707A" w:rsidP="0035707A">
            <w:pPr>
              <w:keepLines/>
            </w:pPr>
            <w:r>
              <w:t>Towing companies can now use first class mail to send impound notices, rather than certified, to registered and legal owners of impounded vehicles</w:t>
            </w:r>
          </w:p>
        </w:tc>
        <w:tc>
          <w:tcPr>
            <w:tcW w:w="4361" w:type="dxa"/>
          </w:tcPr>
          <w:p w:rsidR="0035707A" w:rsidRPr="00B67699" w:rsidRDefault="0035707A" w:rsidP="0035707A">
            <w:pPr>
              <w:keepLines/>
              <w:rPr>
                <w:b/>
              </w:rPr>
            </w:pPr>
            <w:r w:rsidRPr="00B67699">
              <w:rPr>
                <w:b/>
              </w:rPr>
              <w:t>Enacted – 07/23/17</w:t>
            </w:r>
          </w:p>
        </w:tc>
      </w:tr>
      <w:tr w:rsidR="0035707A" w:rsidTr="006A2918">
        <w:trPr>
          <w:trHeight w:val="236"/>
        </w:trPr>
        <w:tc>
          <w:tcPr>
            <w:tcW w:w="2172" w:type="dxa"/>
          </w:tcPr>
          <w:p w:rsidR="0035707A" w:rsidRDefault="0035707A" w:rsidP="0035707A">
            <w:pPr>
              <w:keepLines/>
            </w:pPr>
          </w:p>
        </w:tc>
        <w:tc>
          <w:tcPr>
            <w:tcW w:w="6545" w:type="dxa"/>
          </w:tcPr>
          <w:p w:rsidR="0035707A" w:rsidRDefault="0035707A" w:rsidP="0035707A">
            <w:pPr>
              <w:keepLines/>
            </w:pPr>
          </w:p>
        </w:tc>
        <w:tc>
          <w:tcPr>
            <w:tcW w:w="4361" w:type="dxa"/>
          </w:tcPr>
          <w:p w:rsidR="0035707A" w:rsidRDefault="0035707A" w:rsidP="0035707A">
            <w:pPr>
              <w:keepLines/>
            </w:pPr>
          </w:p>
        </w:tc>
      </w:tr>
    </w:tbl>
    <w:p w:rsidR="00F517EF" w:rsidRDefault="00F517EF" w:rsidP="00D1188B"/>
    <w:p w:rsidR="003C29B7" w:rsidRPr="00E31C1A" w:rsidRDefault="00013BF9" w:rsidP="00D830AA">
      <w:pPr>
        <w:rPr>
          <w:b/>
          <w:color w:val="FF0000"/>
          <w:sz w:val="28"/>
          <w:szCs w:val="28"/>
        </w:rPr>
      </w:pPr>
      <w:r w:rsidRPr="00013BF9">
        <w:rPr>
          <w:b/>
          <w:sz w:val="28"/>
          <w:szCs w:val="28"/>
        </w:rPr>
        <w:t>IMPORTANT DATES</w:t>
      </w:r>
      <w:r w:rsidR="00F83CF7">
        <w:rPr>
          <w:b/>
          <w:sz w:val="28"/>
          <w:szCs w:val="28"/>
        </w:rPr>
        <w:t xml:space="preserve"> </w:t>
      </w:r>
    </w:p>
    <w:p w:rsidR="00225F57" w:rsidRDefault="00B2494D" w:rsidP="00D830AA">
      <w:r w:rsidRPr="00B2494D">
        <w:rPr>
          <w:b/>
        </w:rPr>
        <w:t>Call Report due dates for 2017</w:t>
      </w:r>
      <w:r>
        <w:t xml:space="preserve">:  January 29, April 30, July 30, and October 29 (the last Sunday of the month following the quarter end).  </w:t>
      </w:r>
    </w:p>
    <w:p w:rsidR="003C29B7" w:rsidRDefault="003C29B7" w:rsidP="00D830AA">
      <w:r w:rsidRPr="003C29B7">
        <w:rPr>
          <w:b/>
        </w:rPr>
        <w:t>Military Lending Act</w:t>
      </w:r>
      <w:r>
        <w:t xml:space="preserve"> applies to credit cards:  October 3, 2017</w:t>
      </w:r>
    </w:p>
    <w:p w:rsidR="001B4818" w:rsidRDefault="00D30737" w:rsidP="001B4818">
      <w:hyperlink r:id="rId39" w:history="1">
        <w:r w:rsidR="001B4818" w:rsidRPr="001B4818">
          <w:rPr>
            <w:rStyle w:val="Hyperlink"/>
          </w:rPr>
          <w:t>W-2 &amp; 1099 Filing</w:t>
        </w:r>
      </w:hyperlink>
      <w:r w:rsidR="001B4818">
        <w:t xml:space="preserve">:  The Internal Revenue Service has published [82 FR 33441] final and temporary rules effective immediately affecting the due dates for submission of certain information returns. Among the changes are a new due date of January 31 for information returns in the W-2 </w:t>
      </w:r>
      <w:r w:rsidR="001B4818">
        <w:lastRenderedPageBreak/>
        <w:t>series and Forms 1099-MISC.  The changed deadlines are meant to reduce the IRS’s exposure to paying tax refunds early each year before it has the information returns to confirm alleged income and withholding amounts on fraudulent tax returns.</w:t>
      </w:r>
    </w:p>
    <w:p w:rsidR="000F5081" w:rsidRDefault="00B95B4E">
      <w:pPr>
        <w:rPr>
          <w:b/>
          <w:sz w:val="28"/>
          <w:szCs w:val="28"/>
        </w:rPr>
      </w:pPr>
      <w:r w:rsidRPr="00B95B4E">
        <w:rPr>
          <w:b/>
          <w:sz w:val="28"/>
          <w:szCs w:val="28"/>
        </w:rPr>
        <w:t>COMPLIANCE MALPRACTICE AND OTHER STUFF</w:t>
      </w:r>
    </w:p>
    <w:p w:rsidR="00132230" w:rsidRDefault="00132230">
      <w:hyperlink r:id="rId40" w:history="1">
        <w:r w:rsidRPr="00132230">
          <w:rPr>
            <w:rStyle w:val="Hyperlink"/>
          </w:rPr>
          <w:t>Chokepoint is choked out</w:t>
        </w:r>
      </w:hyperlink>
    </w:p>
    <w:p w:rsidR="00132230" w:rsidRPr="00132230" w:rsidRDefault="00132230">
      <w:hyperlink r:id="rId41" w:history="1">
        <w:r w:rsidRPr="00132230">
          <w:rPr>
            <w:rStyle w:val="Hyperlink"/>
          </w:rPr>
          <w:t>Adequate Controls?</w:t>
        </w:r>
      </w:hyperlink>
      <w:r>
        <w:t xml:space="preserve"> - </w:t>
      </w:r>
      <w:r w:rsidRPr="00132230">
        <w:t xml:space="preserve">The FDIC shared a Department of Justice report on a credit union employee, and her on-line boyfriend, Phillip Cook, fraudulently obtaining more than 30 lines of credit worth over $2.6 million.  The employee, Indira </w:t>
      </w:r>
      <w:proofErr w:type="spellStart"/>
      <w:r w:rsidRPr="00132230">
        <w:t>Mohabir</w:t>
      </w:r>
      <w:proofErr w:type="spellEnd"/>
      <w:r w:rsidRPr="00132230">
        <w:t xml:space="preserve">, was a business loan processor at Western Federal Credit Union, and opened lines of credit without necessary oversight and approval from the credit union.  “In exchange for opening the lines of credit and concealing them from the credit union, Cook promised to take </w:t>
      </w:r>
      <w:proofErr w:type="spellStart"/>
      <w:r w:rsidRPr="00132230">
        <w:t>Mohabir</w:t>
      </w:r>
      <w:proofErr w:type="spellEnd"/>
      <w:r w:rsidRPr="00132230">
        <w:t xml:space="preserve"> on trips, and sent her a $50,000 check and flowers…”</w:t>
      </w:r>
    </w:p>
    <w:p w:rsidR="00E51E01" w:rsidRDefault="00E51E01">
      <w:pPr>
        <w:rPr>
          <w:b/>
          <w:sz w:val="28"/>
          <w:szCs w:val="28"/>
        </w:rPr>
      </w:pPr>
      <w:r>
        <w:rPr>
          <w:b/>
          <w:sz w:val="28"/>
          <w:szCs w:val="28"/>
        </w:rPr>
        <w:t>CRYSTAL BALL</w:t>
      </w:r>
    </w:p>
    <w:p w:rsidR="005B6004" w:rsidRDefault="00DF6BA3" w:rsidP="0036422D">
      <w:r>
        <w:t>The CFPB is nearing the end of its rule-making process for the new payday loan rule, and word is that it may be limited in scope to only cover short term-loans with a term of less than 45 days.</w:t>
      </w:r>
    </w:p>
    <w:p w:rsidR="0036422D" w:rsidRPr="0036422D" w:rsidRDefault="0036422D" w:rsidP="0036422D">
      <w:pPr>
        <w:rPr>
          <w:b/>
        </w:rPr>
      </w:pPr>
      <w:r w:rsidRPr="0036422D">
        <w:rPr>
          <w:b/>
        </w:rPr>
        <w:t>Inflation Adjustments – Effective January 1, 2018</w:t>
      </w:r>
    </w:p>
    <w:p w:rsidR="0036422D" w:rsidRPr="005B6004" w:rsidRDefault="0036422D" w:rsidP="0036422D">
      <w:pPr>
        <w:rPr>
          <w:u w:val="single"/>
        </w:rPr>
      </w:pPr>
      <w:r w:rsidRPr="005B6004">
        <w:rPr>
          <w:u w:val="single"/>
        </w:rPr>
        <w:t xml:space="preserve">Section 1026.32 – Requirements for High-Cost Mortgages </w:t>
      </w:r>
    </w:p>
    <w:p w:rsidR="0036422D" w:rsidRDefault="0036422D" w:rsidP="0036422D">
      <w:r>
        <w:t xml:space="preserve">A loan can be classified as a high-cost mortgage based on one of three independent triggers. Among these are the points and fees charged </w:t>
      </w:r>
      <w:proofErr w:type="gramStart"/>
      <w:r>
        <w:t>in connection with</w:t>
      </w:r>
      <w:proofErr w:type="gramEnd"/>
      <w:r>
        <w:t xml:space="preserve"> the transaction. Beginning 1/1/2018, a loan will be classified as high-cost if the total points and fees charged </w:t>
      </w:r>
      <w:proofErr w:type="gramStart"/>
      <w:r>
        <w:t>in connection with</w:t>
      </w:r>
      <w:proofErr w:type="gramEnd"/>
      <w:r>
        <w:t xml:space="preserve"> the transaction exceed: </w:t>
      </w:r>
    </w:p>
    <w:p w:rsidR="005B6004" w:rsidRDefault="0036422D" w:rsidP="0036422D">
      <w:pPr>
        <w:pStyle w:val="ListParagraph"/>
        <w:numPr>
          <w:ilvl w:val="0"/>
          <w:numId w:val="14"/>
        </w:numPr>
      </w:pPr>
      <w:r>
        <w:t>5% of the loan amount for loans greater than $21,032; or</w:t>
      </w:r>
    </w:p>
    <w:p w:rsidR="0036422D" w:rsidRDefault="0036422D" w:rsidP="0036422D">
      <w:pPr>
        <w:pStyle w:val="ListParagraph"/>
        <w:numPr>
          <w:ilvl w:val="0"/>
          <w:numId w:val="14"/>
        </w:numPr>
      </w:pPr>
      <w:r>
        <w:t>For loans of less than $21,032, the lesser of 8% of the loan amount or $1,052</w:t>
      </w:r>
    </w:p>
    <w:p w:rsidR="0036422D" w:rsidRPr="005B6004" w:rsidRDefault="0036422D" w:rsidP="0036422D">
      <w:pPr>
        <w:rPr>
          <w:u w:val="single"/>
        </w:rPr>
      </w:pPr>
      <w:r w:rsidRPr="005B6004">
        <w:rPr>
          <w:u w:val="single"/>
        </w:rPr>
        <w:t xml:space="preserve">Section 1026.52 - Limitation on Fees (Credit Cards) </w:t>
      </w:r>
    </w:p>
    <w:p w:rsidR="0036422D" w:rsidRDefault="0036422D" w:rsidP="0036422D">
      <w:r>
        <w:lastRenderedPageBreak/>
        <w:t xml:space="preserve">Section 1026.52 of Regulation Z establishes a safe harbor for the imposition of penalty fees in association with credit card accounts. A credit union </w:t>
      </w:r>
      <w:proofErr w:type="gramStart"/>
      <w:r>
        <w:t>is considered to be</w:t>
      </w:r>
      <w:proofErr w:type="gramEnd"/>
      <w:r>
        <w:t xml:space="preserve"> compliant with Section 1026.52 so long as their penalty fees do not exceed the following amounts: </w:t>
      </w:r>
    </w:p>
    <w:p w:rsidR="005B6004" w:rsidRDefault="0036422D" w:rsidP="007D70F4">
      <w:pPr>
        <w:pStyle w:val="ListParagraph"/>
        <w:numPr>
          <w:ilvl w:val="0"/>
          <w:numId w:val="15"/>
        </w:numPr>
      </w:pPr>
      <w:r>
        <w:t>$27 for a first violation</w:t>
      </w:r>
    </w:p>
    <w:p w:rsidR="0036422D" w:rsidRDefault="0036422D" w:rsidP="007D70F4">
      <w:pPr>
        <w:pStyle w:val="ListParagraph"/>
        <w:numPr>
          <w:ilvl w:val="0"/>
          <w:numId w:val="15"/>
        </w:numPr>
      </w:pPr>
      <w:r>
        <w:t>$38 for a subsequent violation</w:t>
      </w:r>
    </w:p>
    <w:p w:rsidR="0036422D" w:rsidRDefault="0036422D" w:rsidP="0036422D">
      <w:r>
        <w:t xml:space="preserve">These thresholds remain unchanged from their current 2017 levels.  </w:t>
      </w:r>
    </w:p>
    <w:p w:rsidR="0036422D" w:rsidRDefault="0036422D" w:rsidP="0036422D"/>
    <w:p w:rsidR="0036422D" w:rsidRPr="005B6004" w:rsidRDefault="0036422D" w:rsidP="0036422D">
      <w:pPr>
        <w:rPr>
          <w:u w:val="single"/>
        </w:rPr>
      </w:pPr>
      <w:r w:rsidRPr="005B6004">
        <w:rPr>
          <w:u w:val="single"/>
        </w:rPr>
        <w:t xml:space="preserve">Section 1026.43 - Ability to Repay / Qualified Mortgages </w:t>
      </w:r>
    </w:p>
    <w:p w:rsidR="0036422D" w:rsidRDefault="0036422D" w:rsidP="0036422D">
      <w:r>
        <w:t xml:space="preserve">One way in which a credit union may satisfy the ability to repay requirements of Regulation Z is to originate the loan as a qualified mortgage (QM). A QM has very specific requirements, including a limitation on the points and fees charged </w:t>
      </w:r>
      <w:proofErr w:type="gramStart"/>
      <w:r>
        <w:t>in connection with</w:t>
      </w:r>
      <w:proofErr w:type="gramEnd"/>
      <w:r>
        <w:t xml:space="preserve"> the transaction. Beginning 1/1/2018, the points and fees limits will be as follows: </w:t>
      </w:r>
    </w:p>
    <w:p w:rsidR="0036422D" w:rsidRDefault="0036422D" w:rsidP="005B6004">
      <w:pPr>
        <w:pStyle w:val="ListParagraph"/>
        <w:numPr>
          <w:ilvl w:val="0"/>
          <w:numId w:val="17"/>
        </w:numPr>
      </w:pPr>
      <w:r>
        <w:t>3% of the total loan amount for loans of greater than $105,158</w:t>
      </w:r>
    </w:p>
    <w:p w:rsidR="0036422D" w:rsidRDefault="0036422D" w:rsidP="005B6004">
      <w:pPr>
        <w:pStyle w:val="ListParagraph"/>
        <w:numPr>
          <w:ilvl w:val="0"/>
          <w:numId w:val="17"/>
        </w:numPr>
      </w:pPr>
      <w:r>
        <w:t>$3,155 for loans between $63,095 and $105,158</w:t>
      </w:r>
    </w:p>
    <w:p w:rsidR="0036422D" w:rsidRDefault="0036422D" w:rsidP="005B6004">
      <w:pPr>
        <w:pStyle w:val="ListParagraph"/>
        <w:numPr>
          <w:ilvl w:val="0"/>
          <w:numId w:val="17"/>
        </w:numPr>
      </w:pPr>
      <w:r>
        <w:t>5% of the total loan amount for loans between $21,032 and $63,095</w:t>
      </w:r>
    </w:p>
    <w:p w:rsidR="0036422D" w:rsidRDefault="0036422D" w:rsidP="005B6004">
      <w:pPr>
        <w:pStyle w:val="ListParagraph"/>
        <w:numPr>
          <w:ilvl w:val="0"/>
          <w:numId w:val="17"/>
        </w:numPr>
      </w:pPr>
      <w:r>
        <w:t>$1,052 for loans between $13,145 and $21,032</w:t>
      </w:r>
    </w:p>
    <w:p w:rsidR="0036422D" w:rsidRDefault="0036422D" w:rsidP="005B6004">
      <w:pPr>
        <w:pStyle w:val="ListParagraph"/>
        <w:numPr>
          <w:ilvl w:val="0"/>
          <w:numId w:val="17"/>
        </w:numPr>
      </w:pPr>
      <w:r>
        <w:t>8% of the total loan amount for loans of less than $13,145</w:t>
      </w:r>
    </w:p>
    <w:p w:rsidR="000B58B1" w:rsidRDefault="000B58B1">
      <w:r>
        <w:br w:type="page"/>
      </w:r>
    </w:p>
    <w:p w:rsidR="006356B1" w:rsidRDefault="006356B1" w:rsidP="0052297A">
      <w:r>
        <w:lastRenderedPageBreak/>
        <w:t>CFPB Spring 2017 Rulemaking Agenda</w:t>
      </w:r>
    </w:p>
    <w:tbl>
      <w:tblPr>
        <w:tblW w:w="5000" w:type="pct"/>
        <w:tblCellSpacing w:w="15" w:type="dxa"/>
        <w:shd w:val="clear" w:color="auto" w:fill="EFEFEF"/>
        <w:tblCellMar>
          <w:top w:w="15" w:type="dxa"/>
          <w:left w:w="15" w:type="dxa"/>
          <w:bottom w:w="15" w:type="dxa"/>
          <w:right w:w="15" w:type="dxa"/>
        </w:tblCellMar>
        <w:tblLook w:val="04A0" w:firstRow="1" w:lastRow="0" w:firstColumn="1" w:lastColumn="0" w:noHBand="0" w:noVBand="1"/>
        <w:tblDescription w:val="agency rule list of a publication"/>
      </w:tblPr>
      <w:tblGrid>
        <w:gridCol w:w="1966"/>
        <w:gridCol w:w="1952"/>
        <w:gridCol w:w="7716"/>
        <w:gridCol w:w="1326"/>
      </w:tblGrid>
      <w:tr w:rsidR="006356B1" w:rsidRPr="006356B1" w:rsidTr="006356B1">
        <w:trPr>
          <w:tblCellSpacing w:w="15" w:type="dxa"/>
        </w:trPr>
        <w:tc>
          <w:tcPr>
            <w:tcW w:w="750" w:type="pct"/>
            <w:shd w:val="clear" w:color="auto" w:fill="003399"/>
            <w:vAlign w:val="center"/>
            <w:hideMark/>
          </w:tcPr>
          <w:p w:rsidR="006356B1" w:rsidRPr="006356B1" w:rsidRDefault="00D30737" w:rsidP="006356B1">
            <w:pPr>
              <w:spacing w:after="0" w:line="240" w:lineRule="auto"/>
              <w:jc w:val="center"/>
              <w:rPr>
                <w:rFonts w:ascii="Arial" w:eastAsia="Times New Roman" w:hAnsi="Arial" w:cs="Arial"/>
                <w:b/>
                <w:bCs/>
                <w:color w:val="FFFFFF"/>
                <w:sz w:val="18"/>
                <w:szCs w:val="18"/>
              </w:rPr>
            </w:pPr>
            <w:hyperlink r:id="rId42" w:tooltip="Sorted Agency" w:history="1">
              <w:r w:rsidR="006356B1" w:rsidRPr="006356B1">
                <w:rPr>
                  <w:rFonts w:ascii="Arial" w:eastAsia="Times New Roman" w:hAnsi="Arial" w:cs="Arial"/>
                  <w:b/>
                  <w:bCs/>
                  <w:color w:val="FFFFFF"/>
                  <w:sz w:val="18"/>
                  <w:szCs w:val="18"/>
                  <w:u w:val="single"/>
                  <w:shd w:val="clear" w:color="auto" w:fill="003399"/>
                </w:rPr>
                <w:t>Agency</w:t>
              </w:r>
            </w:hyperlink>
          </w:p>
        </w:tc>
        <w:tc>
          <w:tcPr>
            <w:tcW w:w="750" w:type="pct"/>
            <w:shd w:val="clear" w:color="auto" w:fill="003399"/>
            <w:vAlign w:val="center"/>
            <w:hideMark/>
          </w:tcPr>
          <w:p w:rsidR="006356B1" w:rsidRPr="006356B1" w:rsidRDefault="00D30737" w:rsidP="006356B1">
            <w:pPr>
              <w:spacing w:after="0" w:line="240" w:lineRule="auto"/>
              <w:jc w:val="center"/>
              <w:rPr>
                <w:rFonts w:ascii="Arial" w:eastAsia="Times New Roman" w:hAnsi="Arial" w:cs="Arial"/>
                <w:b/>
                <w:bCs/>
                <w:color w:val="FFFFFF"/>
                <w:sz w:val="18"/>
                <w:szCs w:val="18"/>
              </w:rPr>
            </w:pPr>
            <w:hyperlink r:id="rId43" w:tooltip="Sorted by Rule Stage" w:history="1">
              <w:r w:rsidR="006356B1" w:rsidRPr="006356B1">
                <w:rPr>
                  <w:rFonts w:ascii="Arial" w:eastAsia="Times New Roman" w:hAnsi="Arial" w:cs="Arial"/>
                  <w:b/>
                  <w:bCs/>
                  <w:color w:val="FFFFFF"/>
                  <w:sz w:val="18"/>
                  <w:szCs w:val="18"/>
                  <w:u w:val="single"/>
                  <w:shd w:val="clear" w:color="auto" w:fill="003399"/>
                </w:rPr>
                <w:t>Agenda Stage of Rulemaking</w:t>
              </w:r>
            </w:hyperlink>
          </w:p>
        </w:tc>
        <w:tc>
          <w:tcPr>
            <w:tcW w:w="3000" w:type="pct"/>
            <w:shd w:val="clear" w:color="auto" w:fill="003399"/>
            <w:vAlign w:val="center"/>
            <w:hideMark/>
          </w:tcPr>
          <w:p w:rsidR="006356B1" w:rsidRPr="006356B1" w:rsidRDefault="00D30737" w:rsidP="006356B1">
            <w:pPr>
              <w:spacing w:after="0" w:line="240" w:lineRule="auto"/>
              <w:jc w:val="center"/>
              <w:rPr>
                <w:rFonts w:ascii="Arial" w:eastAsia="Times New Roman" w:hAnsi="Arial" w:cs="Arial"/>
                <w:b/>
                <w:bCs/>
                <w:color w:val="FFFFFF"/>
                <w:sz w:val="18"/>
                <w:szCs w:val="18"/>
              </w:rPr>
            </w:pPr>
            <w:hyperlink r:id="rId44" w:tooltip="Sorted by Title" w:history="1">
              <w:r w:rsidR="006356B1" w:rsidRPr="006356B1">
                <w:rPr>
                  <w:rFonts w:ascii="Arial" w:eastAsia="Times New Roman" w:hAnsi="Arial" w:cs="Arial"/>
                  <w:b/>
                  <w:bCs/>
                  <w:color w:val="FFFFFF"/>
                  <w:sz w:val="18"/>
                  <w:szCs w:val="18"/>
                  <w:u w:val="single"/>
                  <w:shd w:val="clear" w:color="auto" w:fill="003399"/>
                </w:rPr>
                <w:t>Title</w:t>
              </w:r>
            </w:hyperlink>
          </w:p>
        </w:tc>
        <w:tc>
          <w:tcPr>
            <w:tcW w:w="500" w:type="pct"/>
            <w:shd w:val="clear" w:color="auto" w:fill="003399"/>
            <w:vAlign w:val="center"/>
            <w:hideMark/>
          </w:tcPr>
          <w:p w:rsidR="006356B1" w:rsidRPr="006356B1" w:rsidRDefault="00D30737" w:rsidP="006356B1">
            <w:pPr>
              <w:spacing w:after="0" w:line="240" w:lineRule="auto"/>
              <w:jc w:val="center"/>
              <w:rPr>
                <w:rFonts w:ascii="Arial" w:eastAsia="Times New Roman" w:hAnsi="Arial" w:cs="Arial"/>
                <w:b/>
                <w:bCs/>
                <w:color w:val="FFFFFF"/>
                <w:sz w:val="18"/>
                <w:szCs w:val="18"/>
              </w:rPr>
            </w:pPr>
            <w:hyperlink r:id="rId45" w:tooltip="Sorted by RIN" w:history="1">
              <w:r w:rsidR="006356B1" w:rsidRPr="006356B1">
                <w:rPr>
                  <w:rFonts w:ascii="Arial" w:eastAsia="Times New Roman" w:hAnsi="Arial" w:cs="Arial"/>
                  <w:b/>
                  <w:bCs/>
                  <w:color w:val="FFFFFF"/>
                  <w:sz w:val="18"/>
                  <w:szCs w:val="18"/>
                  <w:u w:val="single"/>
                  <w:shd w:val="clear" w:color="auto" w:fill="003399"/>
                </w:rPr>
                <w:t>RIN</w:t>
              </w:r>
            </w:hyperlink>
          </w:p>
        </w:tc>
      </w:tr>
      <w:tr w:rsidR="006356B1" w:rsidRPr="006356B1" w:rsidTr="006356B1">
        <w:trPr>
          <w:tblCellSpacing w:w="15" w:type="dxa"/>
        </w:trPr>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CFPB</w:t>
            </w:r>
          </w:p>
        </w:tc>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proofErr w:type="spellStart"/>
            <w:r w:rsidRPr="006356B1">
              <w:rPr>
                <w:rFonts w:ascii="Arial" w:eastAsia="Times New Roman" w:hAnsi="Arial" w:cs="Arial"/>
                <w:color w:val="000000"/>
                <w:sz w:val="18"/>
                <w:szCs w:val="18"/>
              </w:rPr>
              <w:t>Prerule</w:t>
            </w:r>
            <w:proofErr w:type="spellEnd"/>
            <w:r w:rsidRPr="006356B1">
              <w:rPr>
                <w:rFonts w:ascii="Arial" w:eastAsia="Times New Roman" w:hAnsi="Arial" w:cs="Arial"/>
                <w:color w:val="000000"/>
                <w:sz w:val="18"/>
                <w:szCs w:val="18"/>
              </w:rPr>
              <w:t xml:space="preserve"> Stage</w:t>
            </w:r>
          </w:p>
        </w:tc>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Business Lending Data (Regulation B)</w:t>
            </w:r>
          </w:p>
        </w:tc>
        <w:tc>
          <w:tcPr>
            <w:tcW w:w="0" w:type="auto"/>
            <w:shd w:val="clear" w:color="auto" w:fill="E8F0F9"/>
            <w:tcMar>
              <w:top w:w="30" w:type="dxa"/>
              <w:left w:w="30" w:type="dxa"/>
              <w:bottom w:w="30" w:type="dxa"/>
              <w:right w:w="30" w:type="dxa"/>
            </w:tcMar>
            <w:vAlign w:val="center"/>
            <w:hideMark/>
          </w:tcPr>
          <w:p w:rsidR="006356B1" w:rsidRPr="006356B1" w:rsidRDefault="00D30737" w:rsidP="006356B1">
            <w:pPr>
              <w:spacing w:after="0" w:line="240" w:lineRule="auto"/>
              <w:rPr>
                <w:rFonts w:ascii="Arial" w:eastAsia="Times New Roman" w:hAnsi="Arial" w:cs="Arial"/>
                <w:color w:val="000000"/>
                <w:sz w:val="18"/>
                <w:szCs w:val="18"/>
              </w:rPr>
            </w:pPr>
            <w:hyperlink r:id="rId46" w:history="1">
              <w:r w:rsidR="006356B1" w:rsidRPr="006356B1">
                <w:rPr>
                  <w:rFonts w:ascii="Arial" w:eastAsia="Times New Roman" w:hAnsi="Arial" w:cs="Arial"/>
                  <w:color w:val="0033FF"/>
                  <w:sz w:val="18"/>
                  <w:szCs w:val="18"/>
                  <w:u w:val="single"/>
                </w:rPr>
                <w:t>3170-AA09</w:t>
              </w:r>
            </w:hyperlink>
          </w:p>
        </w:tc>
      </w:tr>
      <w:tr w:rsidR="006356B1" w:rsidRPr="006356B1" w:rsidTr="006356B1">
        <w:trPr>
          <w:tblCellSpacing w:w="15" w:type="dxa"/>
        </w:trPr>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CFPB</w:t>
            </w:r>
          </w:p>
        </w:tc>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proofErr w:type="spellStart"/>
            <w:r w:rsidRPr="006356B1">
              <w:rPr>
                <w:rFonts w:ascii="Arial" w:eastAsia="Times New Roman" w:hAnsi="Arial" w:cs="Arial"/>
                <w:color w:val="000000"/>
                <w:sz w:val="18"/>
                <w:szCs w:val="18"/>
              </w:rPr>
              <w:t>Prerule</w:t>
            </w:r>
            <w:proofErr w:type="spellEnd"/>
            <w:r w:rsidRPr="006356B1">
              <w:rPr>
                <w:rFonts w:ascii="Arial" w:eastAsia="Times New Roman" w:hAnsi="Arial" w:cs="Arial"/>
                <w:color w:val="000000"/>
                <w:sz w:val="18"/>
                <w:szCs w:val="18"/>
              </w:rPr>
              <w:t xml:space="preserve"> Stage</w:t>
            </w:r>
          </w:p>
        </w:tc>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Overdraft Services</w:t>
            </w:r>
          </w:p>
        </w:tc>
        <w:tc>
          <w:tcPr>
            <w:tcW w:w="0" w:type="auto"/>
            <w:shd w:val="clear" w:color="auto" w:fill="FFFFFF"/>
            <w:tcMar>
              <w:top w:w="30" w:type="dxa"/>
              <w:left w:w="30" w:type="dxa"/>
              <w:bottom w:w="30" w:type="dxa"/>
              <w:right w:w="30" w:type="dxa"/>
            </w:tcMar>
            <w:vAlign w:val="center"/>
            <w:hideMark/>
          </w:tcPr>
          <w:p w:rsidR="006356B1" w:rsidRPr="006356B1" w:rsidRDefault="00D30737" w:rsidP="006356B1">
            <w:pPr>
              <w:spacing w:after="0" w:line="240" w:lineRule="auto"/>
              <w:rPr>
                <w:rFonts w:ascii="Arial" w:eastAsia="Times New Roman" w:hAnsi="Arial" w:cs="Arial"/>
                <w:color w:val="000000"/>
                <w:sz w:val="18"/>
                <w:szCs w:val="18"/>
              </w:rPr>
            </w:pPr>
            <w:hyperlink r:id="rId47" w:history="1">
              <w:r w:rsidR="006356B1" w:rsidRPr="006356B1">
                <w:rPr>
                  <w:rFonts w:ascii="Arial" w:eastAsia="Times New Roman" w:hAnsi="Arial" w:cs="Arial"/>
                  <w:color w:val="0033FF"/>
                  <w:sz w:val="18"/>
                  <w:szCs w:val="18"/>
                  <w:u w:val="single"/>
                </w:rPr>
                <w:t>3170-AA42</w:t>
              </w:r>
            </w:hyperlink>
          </w:p>
        </w:tc>
      </w:tr>
      <w:tr w:rsidR="006356B1" w:rsidRPr="006356B1" w:rsidTr="006356B1">
        <w:trPr>
          <w:tblCellSpacing w:w="15" w:type="dxa"/>
        </w:trPr>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CFPB</w:t>
            </w:r>
          </w:p>
        </w:tc>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proofErr w:type="spellStart"/>
            <w:r w:rsidRPr="006356B1">
              <w:rPr>
                <w:rFonts w:ascii="Arial" w:eastAsia="Times New Roman" w:hAnsi="Arial" w:cs="Arial"/>
                <w:color w:val="000000"/>
                <w:sz w:val="18"/>
                <w:szCs w:val="18"/>
              </w:rPr>
              <w:t>Prerule</w:t>
            </w:r>
            <w:proofErr w:type="spellEnd"/>
            <w:r w:rsidRPr="006356B1">
              <w:rPr>
                <w:rFonts w:ascii="Arial" w:eastAsia="Times New Roman" w:hAnsi="Arial" w:cs="Arial"/>
                <w:color w:val="000000"/>
                <w:sz w:val="18"/>
                <w:szCs w:val="18"/>
              </w:rPr>
              <w:t xml:space="preserve"> Stage</w:t>
            </w:r>
          </w:p>
        </w:tc>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Submission of Credit Card Agreements Under the Truth in Lending Act (Regulation Z)</w:t>
            </w:r>
          </w:p>
        </w:tc>
        <w:tc>
          <w:tcPr>
            <w:tcW w:w="0" w:type="auto"/>
            <w:shd w:val="clear" w:color="auto" w:fill="E8F0F9"/>
            <w:tcMar>
              <w:top w:w="30" w:type="dxa"/>
              <w:left w:w="30" w:type="dxa"/>
              <w:bottom w:w="30" w:type="dxa"/>
              <w:right w:w="30" w:type="dxa"/>
            </w:tcMar>
            <w:vAlign w:val="center"/>
            <w:hideMark/>
          </w:tcPr>
          <w:p w:rsidR="006356B1" w:rsidRPr="006356B1" w:rsidRDefault="00D30737" w:rsidP="006356B1">
            <w:pPr>
              <w:spacing w:after="0" w:line="240" w:lineRule="auto"/>
              <w:rPr>
                <w:rFonts w:ascii="Arial" w:eastAsia="Times New Roman" w:hAnsi="Arial" w:cs="Arial"/>
                <w:color w:val="000000"/>
                <w:sz w:val="18"/>
                <w:szCs w:val="18"/>
              </w:rPr>
            </w:pPr>
            <w:hyperlink r:id="rId48" w:history="1">
              <w:r w:rsidR="006356B1" w:rsidRPr="006356B1">
                <w:rPr>
                  <w:rFonts w:ascii="Arial" w:eastAsia="Times New Roman" w:hAnsi="Arial" w:cs="Arial"/>
                  <w:color w:val="0033FF"/>
                  <w:sz w:val="18"/>
                  <w:szCs w:val="18"/>
                  <w:u w:val="single"/>
                </w:rPr>
                <w:t>3170-AA70</w:t>
              </w:r>
            </w:hyperlink>
          </w:p>
        </w:tc>
      </w:tr>
      <w:tr w:rsidR="006356B1" w:rsidRPr="006356B1" w:rsidTr="006356B1">
        <w:trPr>
          <w:tblCellSpacing w:w="15" w:type="dxa"/>
        </w:trPr>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CFPB</w:t>
            </w:r>
          </w:p>
        </w:tc>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proofErr w:type="spellStart"/>
            <w:r w:rsidRPr="006356B1">
              <w:rPr>
                <w:rFonts w:ascii="Arial" w:eastAsia="Times New Roman" w:hAnsi="Arial" w:cs="Arial"/>
                <w:color w:val="000000"/>
                <w:sz w:val="18"/>
                <w:szCs w:val="18"/>
              </w:rPr>
              <w:t>Prerule</w:t>
            </w:r>
            <w:proofErr w:type="spellEnd"/>
            <w:r w:rsidRPr="006356B1">
              <w:rPr>
                <w:rFonts w:ascii="Arial" w:eastAsia="Times New Roman" w:hAnsi="Arial" w:cs="Arial"/>
                <w:color w:val="000000"/>
                <w:sz w:val="18"/>
                <w:szCs w:val="18"/>
              </w:rPr>
              <w:t xml:space="preserve"> Stage</w:t>
            </w:r>
          </w:p>
        </w:tc>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Review of Inherited Regulations</w:t>
            </w:r>
          </w:p>
        </w:tc>
        <w:tc>
          <w:tcPr>
            <w:tcW w:w="0" w:type="auto"/>
            <w:shd w:val="clear" w:color="auto" w:fill="FFFFFF"/>
            <w:tcMar>
              <w:top w:w="30" w:type="dxa"/>
              <w:left w:w="30" w:type="dxa"/>
              <w:bottom w:w="30" w:type="dxa"/>
              <w:right w:w="30" w:type="dxa"/>
            </w:tcMar>
            <w:vAlign w:val="center"/>
            <w:hideMark/>
          </w:tcPr>
          <w:p w:rsidR="006356B1" w:rsidRPr="006356B1" w:rsidRDefault="00D30737" w:rsidP="006356B1">
            <w:pPr>
              <w:spacing w:after="0" w:line="240" w:lineRule="auto"/>
              <w:rPr>
                <w:rFonts w:ascii="Arial" w:eastAsia="Times New Roman" w:hAnsi="Arial" w:cs="Arial"/>
                <w:color w:val="000000"/>
                <w:sz w:val="18"/>
                <w:szCs w:val="18"/>
              </w:rPr>
            </w:pPr>
            <w:hyperlink r:id="rId49" w:history="1">
              <w:r w:rsidR="006356B1" w:rsidRPr="006356B1">
                <w:rPr>
                  <w:rFonts w:ascii="Arial" w:eastAsia="Times New Roman" w:hAnsi="Arial" w:cs="Arial"/>
                  <w:color w:val="0033FF"/>
                  <w:sz w:val="18"/>
                  <w:szCs w:val="18"/>
                  <w:u w:val="single"/>
                </w:rPr>
                <w:t>3170-AA73</w:t>
              </w:r>
            </w:hyperlink>
          </w:p>
        </w:tc>
      </w:tr>
      <w:tr w:rsidR="006356B1" w:rsidRPr="006356B1" w:rsidTr="006356B1">
        <w:trPr>
          <w:tblCellSpacing w:w="15" w:type="dxa"/>
        </w:trPr>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CFPB</w:t>
            </w:r>
          </w:p>
        </w:tc>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Proposed Rule Stage</w:t>
            </w:r>
          </w:p>
        </w:tc>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Supervision of Larger Participants in Markets for Personal Loans</w:t>
            </w:r>
          </w:p>
        </w:tc>
        <w:tc>
          <w:tcPr>
            <w:tcW w:w="0" w:type="auto"/>
            <w:shd w:val="clear" w:color="auto" w:fill="E8F0F9"/>
            <w:tcMar>
              <w:top w:w="30" w:type="dxa"/>
              <w:left w:w="30" w:type="dxa"/>
              <w:bottom w:w="30" w:type="dxa"/>
              <w:right w:w="30" w:type="dxa"/>
            </w:tcMar>
            <w:vAlign w:val="center"/>
            <w:hideMark/>
          </w:tcPr>
          <w:p w:rsidR="006356B1" w:rsidRPr="006356B1" w:rsidRDefault="00D30737" w:rsidP="006356B1">
            <w:pPr>
              <w:spacing w:after="0" w:line="240" w:lineRule="auto"/>
              <w:rPr>
                <w:rFonts w:ascii="Arial" w:eastAsia="Times New Roman" w:hAnsi="Arial" w:cs="Arial"/>
                <w:color w:val="000000"/>
                <w:sz w:val="18"/>
                <w:szCs w:val="18"/>
              </w:rPr>
            </w:pPr>
            <w:hyperlink r:id="rId50" w:history="1">
              <w:r w:rsidR="006356B1" w:rsidRPr="006356B1">
                <w:rPr>
                  <w:rFonts w:ascii="Arial" w:eastAsia="Times New Roman" w:hAnsi="Arial" w:cs="Arial"/>
                  <w:color w:val="0033FF"/>
                  <w:sz w:val="18"/>
                  <w:szCs w:val="18"/>
                  <w:u w:val="single"/>
                </w:rPr>
                <w:t>3170-AA07</w:t>
              </w:r>
            </w:hyperlink>
          </w:p>
        </w:tc>
      </w:tr>
      <w:tr w:rsidR="006356B1" w:rsidRPr="006356B1" w:rsidTr="006356B1">
        <w:trPr>
          <w:tblCellSpacing w:w="15" w:type="dxa"/>
        </w:trPr>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CFPB</w:t>
            </w:r>
          </w:p>
        </w:tc>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Proposed Rule Stage</w:t>
            </w:r>
          </w:p>
        </w:tc>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Payday, Vehicle Title, and Certain High-Cost Installment Loans</w:t>
            </w:r>
          </w:p>
        </w:tc>
        <w:tc>
          <w:tcPr>
            <w:tcW w:w="0" w:type="auto"/>
            <w:shd w:val="clear" w:color="auto" w:fill="FFFFFF"/>
            <w:tcMar>
              <w:top w:w="30" w:type="dxa"/>
              <w:left w:w="30" w:type="dxa"/>
              <w:bottom w:w="30" w:type="dxa"/>
              <w:right w:w="30" w:type="dxa"/>
            </w:tcMar>
            <w:vAlign w:val="center"/>
            <w:hideMark/>
          </w:tcPr>
          <w:p w:rsidR="006356B1" w:rsidRPr="006356B1" w:rsidRDefault="00D30737" w:rsidP="006356B1">
            <w:pPr>
              <w:spacing w:after="0" w:line="240" w:lineRule="auto"/>
              <w:rPr>
                <w:rFonts w:ascii="Arial" w:eastAsia="Times New Roman" w:hAnsi="Arial" w:cs="Arial"/>
                <w:color w:val="000000"/>
                <w:sz w:val="18"/>
                <w:szCs w:val="18"/>
              </w:rPr>
            </w:pPr>
            <w:hyperlink r:id="rId51" w:history="1">
              <w:r w:rsidR="006356B1" w:rsidRPr="006356B1">
                <w:rPr>
                  <w:rFonts w:ascii="Arial" w:eastAsia="Times New Roman" w:hAnsi="Arial" w:cs="Arial"/>
                  <w:color w:val="0033FF"/>
                  <w:sz w:val="18"/>
                  <w:szCs w:val="18"/>
                  <w:u w:val="single"/>
                </w:rPr>
                <w:t>3170-AA40</w:t>
              </w:r>
            </w:hyperlink>
          </w:p>
        </w:tc>
      </w:tr>
      <w:tr w:rsidR="006356B1" w:rsidRPr="006356B1" w:rsidTr="006356B1">
        <w:trPr>
          <w:tblCellSpacing w:w="15" w:type="dxa"/>
        </w:trPr>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CFPB</w:t>
            </w:r>
          </w:p>
        </w:tc>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Proposed Rule Stage</w:t>
            </w:r>
          </w:p>
        </w:tc>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Debt Collection Rule</w:t>
            </w:r>
          </w:p>
        </w:tc>
        <w:tc>
          <w:tcPr>
            <w:tcW w:w="0" w:type="auto"/>
            <w:shd w:val="clear" w:color="auto" w:fill="E8F0F9"/>
            <w:tcMar>
              <w:top w:w="30" w:type="dxa"/>
              <w:left w:w="30" w:type="dxa"/>
              <w:bottom w:w="30" w:type="dxa"/>
              <w:right w:w="30" w:type="dxa"/>
            </w:tcMar>
            <w:vAlign w:val="center"/>
            <w:hideMark/>
          </w:tcPr>
          <w:p w:rsidR="006356B1" w:rsidRPr="006356B1" w:rsidRDefault="00D30737" w:rsidP="006356B1">
            <w:pPr>
              <w:spacing w:after="0" w:line="240" w:lineRule="auto"/>
              <w:rPr>
                <w:rFonts w:ascii="Arial" w:eastAsia="Times New Roman" w:hAnsi="Arial" w:cs="Arial"/>
                <w:color w:val="000000"/>
                <w:sz w:val="18"/>
                <w:szCs w:val="18"/>
              </w:rPr>
            </w:pPr>
            <w:hyperlink r:id="rId52" w:history="1">
              <w:r w:rsidR="006356B1" w:rsidRPr="006356B1">
                <w:rPr>
                  <w:rFonts w:ascii="Arial" w:eastAsia="Times New Roman" w:hAnsi="Arial" w:cs="Arial"/>
                  <w:color w:val="0033FF"/>
                  <w:sz w:val="18"/>
                  <w:szCs w:val="18"/>
                  <w:u w:val="single"/>
                </w:rPr>
                <w:t>3170-AA41</w:t>
              </w:r>
            </w:hyperlink>
          </w:p>
        </w:tc>
      </w:tr>
      <w:tr w:rsidR="006356B1" w:rsidRPr="006356B1" w:rsidTr="006356B1">
        <w:trPr>
          <w:tblCellSpacing w:w="15" w:type="dxa"/>
        </w:trPr>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CFPB</w:t>
            </w:r>
          </w:p>
        </w:tc>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Proposed Rule Stage</w:t>
            </w:r>
          </w:p>
        </w:tc>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Amendments to FIRREA Concerning Appraisals (Automated Valuation Models)</w:t>
            </w:r>
          </w:p>
        </w:tc>
        <w:tc>
          <w:tcPr>
            <w:tcW w:w="0" w:type="auto"/>
            <w:shd w:val="clear" w:color="auto" w:fill="FFFFFF"/>
            <w:tcMar>
              <w:top w:w="30" w:type="dxa"/>
              <w:left w:w="30" w:type="dxa"/>
              <w:bottom w:w="30" w:type="dxa"/>
              <w:right w:w="30" w:type="dxa"/>
            </w:tcMar>
            <w:vAlign w:val="center"/>
            <w:hideMark/>
          </w:tcPr>
          <w:p w:rsidR="006356B1" w:rsidRPr="006356B1" w:rsidRDefault="00D30737" w:rsidP="006356B1">
            <w:pPr>
              <w:spacing w:after="0" w:line="240" w:lineRule="auto"/>
              <w:rPr>
                <w:rFonts w:ascii="Arial" w:eastAsia="Times New Roman" w:hAnsi="Arial" w:cs="Arial"/>
                <w:color w:val="000000"/>
                <w:sz w:val="18"/>
                <w:szCs w:val="18"/>
              </w:rPr>
            </w:pPr>
            <w:hyperlink r:id="rId53" w:history="1">
              <w:r w:rsidR="006356B1" w:rsidRPr="006356B1">
                <w:rPr>
                  <w:rFonts w:ascii="Arial" w:eastAsia="Times New Roman" w:hAnsi="Arial" w:cs="Arial"/>
                  <w:color w:val="0033FF"/>
                  <w:sz w:val="18"/>
                  <w:szCs w:val="18"/>
                  <w:u w:val="single"/>
                </w:rPr>
                <w:t>3170-AA57</w:t>
              </w:r>
            </w:hyperlink>
          </w:p>
        </w:tc>
      </w:tr>
      <w:tr w:rsidR="006356B1" w:rsidRPr="006356B1" w:rsidTr="006356B1">
        <w:trPr>
          <w:tblCellSpacing w:w="15" w:type="dxa"/>
        </w:trPr>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CFPB</w:t>
            </w:r>
          </w:p>
        </w:tc>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Proposed Rule Stage</w:t>
            </w:r>
          </w:p>
        </w:tc>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Technical Corrections and Clarifying Amendments to Home Mortgage Disclosure Act (Regulation C)</w:t>
            </w:r>
          </w:p>
        </w:tc>
        <w:tc>
          <w:tcPr>
            <w:tcW w:w="0" w:type="auto"/>
            <w:shd w:val="clear" w:color="auto" w:fill="E8F0F9"/>
            <w:tcMar>
              <w:top w:w="30" w:type="dxa"/>
              <w:left w:w="30" w:type="dxa"/>
              <w:bottom w:w="30" w:type="dxa"/>
              <w:right w:w="30" w:type="dxa"/>
            </w:tcMar>
            <w:vAlign w:val="center"/>
            <w:hideMark/>
          </w:tcPr>
          <w:p w:rsidR="006356B1" w:rsidRPr="006356B1" w:rsidRDefault="00D30737" w:rsidP="006356B1">
            <w:pPr>
              <w:spacing w:after="0" w:line="240" w:lineRule="auto"/>
              <w:rPr>
                <w:rFonts w:ascii="Arial" w:eastAsia="Times New Roman" w:hAnsi="Arial" w:cs="Arial"/>
                <w:color w:val="000000"/>
                <w:sz w:val="18"/>
                <w:szCs w:val="18"/>
              </w:rPr>
            </w:pPr>
            <w:hyperlink r:id="rId54" w:history="1">
              <w:r w:rsidR="006356B1" w:rsidRPr="006356B1">
                <w:rPr>
                  <w:rFonts w:ascii="Arial" w:eastAsia="Times New Roman" w:hAnsi="Arial" w:cs="Arial"/>
                  <w:color w:val="0033FF"/>
                  <w:sz w:val="18"/>
                  <w:szCs w:val="18"/>
                  <w:u w:val="single"/>
                </w:rPr>
                <w:t>3170-AA64</w:t>
              </w:r>
            </w:hyperlink>
          </w:p>
        </w:tc>
      </w:tr>
      <w:tr w:rsidR="006356B1" w:rsidRPr="006356B1" w:rsidTr="006356B1">
        <w:trPr>
          <w:tblCellSpacing w:w="15" w:type="dxa"/>
        </w:trPr>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CFPB</w:t>
            </w:r>
          </w:p>
        </w:tc>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Proposed Rule Stage</w:t>
            </w:r>
          </w:p>
        </w:tc>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Reconciling Equal Credit Opportunity Act (Regulation B) and Home Mortgage Disclosure Act (Regulation C) Ethnicity and Race Information Collection</w:t>
            </w:r>
          </w:p>
        </w:tc>
        <w:tc>
          <w:tcPr>
            <w:tcW w:w="0" w:type="auto"/>
            <w:shd w:val="clear" w:color="auto" w:fill="FFFFFF"/>
            <w:tcMar>
              <w:top w:w="30" w:type="dxa"/>
              <w:left w:w="30" w:type="dxa"/>
              <w:bottom w:w="30" w:type="dxa"/>
              <w:right w:w="30" w:type="dxa"/>
            </w:tcMar>
            <w:vAlign w:val="center"/>
            <w:hideMark/>
          </w:tcPr>
          <w:p w:rsidR="006356B1" w:rsidRPr="006356B1" w:rsidRDefault="00D30737" w:rsidP="006356B1">
            <w:pPr>
              <w:spacing w:after="0" w:line="240" w:lineRule="auto"/>
              <w:rPr>
                <w:rFonts w:ascii="Arial" w:eastAsia="Times New Roman" w:hAnsi="Arial" w:cs="Arial"/>
                <w:color w:val="000000"/>
                <w:sz w:val="18"/>
                <w:szCs w:val="18"/>
              </w:rPr>
            </w:pPr>
            <w:hyperlink r:id="rId55" w:history="1">
              <w:r w:rsidR="006356B1" w:rsidRPr="006356B1">
                <w:rPr>
                  <w:rFonts w:ascii="Arial" w:eastAsia="Times New Roman" w:hAnsi="Arial" w:cs="Arial"/>
                  <w:color w:val="0033FF"/>
                  <w:sz w:val="18"/>
                  <w:szCs w:val="18"/>
                  <w:u w:val="single"/>
                </w:rPr>
                <w:t>3170-AA65</w:t>
              </w:r>
            </w:hyperlink>
          </w:p>
        </w:tc>
      </w:tr>
      <w:tr w:rsidR="006356B1" w:rsidRPr="006356B1" w:rsidTr="006356B1">
        <w:trPr>
          <w:tblCellSpacing w:w="15" w:type="dxa"/>
        </w:trPr>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CFPB</w:t>
            </w:r>
          </w:p>
        </w:tc>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Proposed Rule Stage</w:t>
            </w:r>
          </w:p>
        </w:tc>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Amendment to the Federal Mortgage Disclosure Requirements Under the Truth in Lending Act (Regulation Z)</w:t>
            </w:r>
          </w:p>
        </w:tc>
        <w:tc>
          <w:tcPr>
            <w:tcW w:w="0" w:type="auto"/>
            <w:shd w:val="clear" w:color="auto" w:fill="E8F0F9"/>
            <w:tcMar>
              <w:top w:w="30" w:type="dxa"/>
              <w:left w:w="30" w:type="dxa"/>
              <w:bottom w:w="30" w:type="dxa"/>
              <w:right w:w="30" w:type="dxa"/>
            </w:tcMar>
            <w:vAlign w:val="center"/>
            <w:hideMark/>
          </w:tcPr>
          <w:p w:rsidR="006356B1" w:rsidRPr="006356B1" w:rsidRDefault="00D30737" w:rsidP="006356B1">
            <w:pPr>
              <w:spacing w:after="0" w:line="240" w:lineRule="auto"/>
              <w:rPr>
                <w:rFonts w:ascii="Arial" w:eastAsia="Times New Roman" w:hAnsi="Arial" w:cs="Arial"/>
                <w:color w:val="000000"/>
                <w:sz w:val="18"/>
                <w:szCs w:val="18"/>
              </w:rPr>
            </w:pPr>
            <w:hyperlink r:id="rId56" w:history="1">
              <w:r w:rsidR="006356B1" w:rsidRPr="006356B1">
                <w:rPr>
                  <w:rFonts w:ascii="Arial" w:eastAsia="Times New Roman" w:hAnsi="Arial" w:cs="Arial"/>
                  <w:color w:val="0033FF"/>
                  <w:sz w:val="18"/>
                  <w:szCs w:val="18"/>
                  <w:u w:val="single"/>
                </w:rPr>
                <w:t>3170-AA71</w:t>
              </w:r>
            </w:hyperlink>
          </w:p>
        </w:tc>
      </w:tr>
      <w:tr w:rsidR="006356B1" w:rsidRPr="006356B1" w:rsidTr="006356B1">
        <w:trPr>
          <w:tblCellSpacing w:w="15" w:type="dxa"/>
        </w:trPr>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CFPB</w:t>
            </w:r>
          </w:p>
        </w:tc>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Proposed Rule Stage</w:t>
            </w:r>
          </w:p>
        </w:tc>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Amendments to Rules Concerning Prepaid Accounts Under the Electronic Fund Transfer Act (Regulation E) and the Truth in Lending Act (Regulation Z)</w:t>
            </w:r>
          </w:p>
        </w:tc>
        <w:tc>
          <w:tcPr>
            <w:tcW w:w="0" w:type="auto"/>
            <w:shd w:val="clear" w:color="auto" w:fill="FFFFFF"/>
            <w:tcMar>
              <w:top w:w="30" w:type="dxa"/>
              <w:left w:w="30" w:type="dxa"/>
              <w:bottom w:w="30" w:type="dxa"/>
              <w:right w:w="30" w:type="dxa"/>
            </w:tcMar>
            <w:vAlign w:val="center"/>
            <w:hideMark/>
          </w:tcPr>
          <w:p w:rsidR="006356B1" w:rsidRPr="006356B1" w:rsidRDefault="00D30737" w:rsidP="006356B1">
            <w:pPr>
              <w:spacing w:after="0" w:line="240" w:lineRule="auto"/>
              <w:rPr>
                <w:rFonts w:ascii="Arial" w:eastAsia="Times New Roman" w:hAnsi="Arial" w:cs="Arial"/>
                <w:color w:val="000000"/>
                <w:sz w:val="18"/>
                <w:szCs w:val="18"/>
              </w:rPr>
            </w:pPr>
            <w:hyperlink r:id="rId57" w:history="1">
              <w:r w:rsidR="006356B1" w:rsidRPr="006356B1">
                <w:rPr>
                  <w:rFonts w:ascii="Arial" w:eastAsia="Times New Roman" w:hAnsi="Arial" w:cs="Arial"/>
                  <w:color w:val="0033FF"/>
                  <w:sz w:val="18"/>
                  <w:szCs w:val="18"/>
                  <w:u w:val="single"/>
                </w:rPr>
                <w:t>3170-AA72</w:t>
              </w:r>
            </w:hyperlink>
          </w:p>
        </w:tc>
      </w:tr>
      <w:tr w:rsidR="006356B1" w:rsidRPr="006356B1" w:rsidTr="006356B1">
        <w:trPr>
          <w:tblCellSpacing w:w="15" w:type="dxa"/>
        </w:trPr>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CFPB</w:t>
            </w:r>
          </w:p>
        </w:tc>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Proposed Rule Stage</w:t>
            </w:r>
          </w:p>
        </w:tc>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Amendments to the 2016 Amendments to the 2013 Mortgage Servicing Rules Under the Real Estate Settlement Procedures Act (Regulation X) and the Truth in Lending Act (Regulation Z)</w:t>
            </w:r>
          </w:p>
        </w:tc>
        <w:tc>
          <w:tcPr>
            <w:tcW w:w="0" w:type="auto"/>
            <w:shd w:val="clear" w:color="auto" w:fill="E8F0F9"/>
            <w:tcMar>
              <w:top w:w="30" w:type="dxa"/>
              <w:left w:w="30" w:type="dxa"/>
              <w:bottom w:w="30" w:type="dxa"/>
              <w:right w:w="30" w:type="dxa"/>
            </w:tcMar>
            <w:vAlign w:val="center"/>
            <w:hideMark/>
          </w:tcPr>
          <w:p w:rsidR="006356B1" w:rsidRPr="006356B1" w:rsidRDefault="00D30737" w:rsidP="006356B1">
            <w:pPr>
              <w:spacing w:after="0" w:line="240" w:lineRule="auto"/>
              <w:rPr>
                <w:rFonts w:ascii="Arial" w:eastAsia="Times New Roman" w:hAnsi="Arial" w:cs="Arial"/>
                <w:color w:val="000000"/>
                <w:sz w:val="18"/>
                <w:szCs w:val="18"/>
              </w:rPr>
            </w:pPr>
            <w:hyperlink r:id="rId58" w:history="1">
              <w:r w:rsidR="006356B1" w:rsidRPr="006356B1">
                <w:rPr>
                  <w:rFonts w:ascii="Arial" w:eastAsia="Times New Roman" w:hAnsi="Arial" w:cs="Arial"/>
                  <w:color w:val="0033FF"/>
                  <w:sz w:val="18"/>
                  <w:szCs w:val="18"/>
                  <w:u w:val="single"/>
                </w:rPr>
                <w:t>3170-AA75</w:t>
              </w:r>
            </w:hyperlink>
          </w:p>
        </w:tc>
      </w:tr>
      <w:tr w:rsidR="006356B1" w:rsidRPr="006356B1" w:rsidTr="006356B1">
        <w:trPr>
          <w:tblCellSpacing w:w="15" w:type="dxa"/>
        </w:trPr>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CFPB</w:t>
            </w:r>
          </w:p>
        </w:tc>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Final Rule Stage</w:t>
            </w:r>
          </w:p>
        </w:tc>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The Expedited Funds Availability Act (Regulation CC)</w:t>
            </w:r>
          </w:p>
        </w:tc>
        <w:tc>
          <w:tcPr>
            <w:tcW w:w="0" w:type="auto"/>
            <w:shd w:val="clear" w:color="auto" w:fill="FFFFFF"/>
            <w:tcMar>
              <w:top w:w="30" w:type="dxa"/>
              <w:left w:w="30" w:type="dxa"/>
              <w:bottom w:w="30" w:type="dxa"/>
              <w:right w:w="30" w:type="dxa"/>
            </w:tcMar>
            <w:vAlign w:val="center"/>
            <w:hideMark/>
          </w:tcPr>
          <w:p w:rsidR="006356B1" w:rsidRPr="006356B1" w:rsidRDefault="00D30737" w:rsidP="006356B1">
            <w:pPr>
              <w:spacing w:after="0" w:line="240" w:lineRule="auto"/>
              <w:rPr>
                <w:rFonts w:ascii="Arial" w:eastAsia="Times New Roman" w:hAnsi="Arial" w:cs="Arial"/>
                <w:color w:val="000000"/>
                <w:sz w:val="18"/>
                <w:szCs w:val="18"/>
              </w:rPr>
            </w:pPr>
            <w:hyperlink r:id="rId59" w:history="1">
              <w:r w:rsidR="006356B1" w:rsidRPr="006356B1">
                <w:rPr>
                  <w:rFonts w:ascii="Arial" w:eastAsia="Times New Roman" w:hAnsi="Arial" w:cs="Arial"/>
                  <w:color w:val="0033FF"/>
                  <w:sz w:val="18"/>
                  <w:szCs w:val="18"/>
                  <w:u w:val="single"/>
                </w:rPr>
                <w:t>3170-AA31</w:t>
              </w:r>
            </w:hyperlink>
          </w:p>
        </w:tc>
      </w:tr>
      <w:tr w:rsidR="006356B1" w:rsidRPr="006356B1" w:rsidTr="006356B1">
        <w:trPr>
          <w:tblCellSpacing w:w="15" w:type="dxa"/>
        </w:trPr>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CFPB</w:t>
            </w:r>
          </w:p>
        </w:tc>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Final Rule Stage</w:t>
            </w:r>
          </w:p>
        </w:tc>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Arbitration</w:t>
            </w:r>
          </w:p>
        </w:tc>
        <w:tc>
          <w:tcPr>
            <w:tcW w:w="0" w:type="auto"/>
            <w:shd w:val="clear" w:color="auto" w:fill="E8F0F9"/>
            <w:tcMar>
              <w:top w:w="30" w:type="dxa"/>
              <w:left w:w="30" w:type="dxa"/>
              <w:bottom w:w="30" w:type="dxa"/>
              <w:right w:w="30" w:type="dxa"/>
            </w:tcMar>
            <w:vAlign w:val="center"/>
            <w:hideMark/>
          </w:tcPr>
          <w:p w:rsidR="006356B1" w:rsidRPr="006356B1" w:rsidRDefault="00D30737" w:rsidP="006356B1">
            <w:pPr>
              <w:spacing w:after="0" w:line="240" w:lineRule="auto"/>
              <w:rPr>
                <w:rFonts w:ascii="Arial" w:eastAsia="Times New Roman" w:hAnsi="Arial" w:cs="Arial"/>
                <w:color w:val="000000"/>
                <w:sz w:val="18"/>
                <w:szCs w:val="18"/>
              </w:rPr>
            </w:pPr>
            <w:hyperlink r:id="rId60" w:history="1">
              <w:r w:rsidR="006356B1" w:rsidRPr="006356B1">
                <w:rPr>
                  <w:rFonts w:ascii="Arial" w:eastAsia="Times New Roman" w:hAnsi="Arial" w:cs="Arial"/>
                  <w:color w:val="0033FF"/>
                  <w:sz w:val="18"/>
                  <w:szCs w:val="18"/>
                  <w:u w:val="single"/>
                </w:rPr>
                <w:t>3170-AA51</w:t>
              </w:r>
            </w:hyperlink>
          </w:p>
        </w:tc>
      </w:tr>
      <w:tr w:rsidR="006356B1" w:rsidRPr="006356B1" w:rsidTr="006356B1">
        <w:trPr>
          <w:tblCellSpacing w:w="15" w:type="dxa"/>
        </w:trPr>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CFPB</w:t>
            </w:r>
          </w:p>
        </w:tc>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Final Rule Stage</w:t>
            </w:r>
          </w:p>
        </w:tc>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Gramm-Leach-Bliley Act (GLBA) (Regulation P)</w:t>
            </w:r>
          </w:p>
        </w:tc>
        <w:tc>
          <w:tcPr>
            <w:tcW w:w="0" w:type="auto"/>
            <w:shd w:val="clear" w:color="auto" w:fill="FFFFFF"/>
            <w:tcMar>
              <w:top w:w="30" w:type="dxa"/>
              <w:left w:w="30" w:type="dxa"/>
              <w:bottom w:w="30" w:type="dxa"/>
              <w:right w:w="30" w:type="dxa"/>
            </w:tcMar>
            <w:vAlign w:val="center"/>
            <w:hideMark/>
          </w:tcPr>
          <w:p w:rsidR="006356B1" w:rsidRPr="006356B1" w:rsidRDefault="00D30737" w:rsidP="006356B1">
            <w:pPr>
              <w:spacing w:after="0" w:line="240" w:lineRule="auto"/>
              <w:rPr>
                <w:rFonts w:ascii="Arial" w:eastAsia="Times New Roman" w:hAnsi="Arial" w:cs="Arial"/>
                <w:color w:val="000000"/>
                <w:sz w:val="18"/>
                <w:szCs w:val="18"/>
              </w:rPr>
            </w:pPr>
            <w:hyperlink r:id="rId61" w:history="1">
              <w:r w:rsidR="006356B1" w:rsidRPr="006356B1">
                <w:rPr>
                  <w:rFonts w:ascii="Arial" w:eastAsia="Times New Roman" w:hAnsi="Arial" w:cs="Arial"/>
                  <w:color w:val="0033FF"/>
                  <w:sz w:val="18"/>
                  <w:szCs w:val="18"/>
                  <w:u w:val="single"/>
                </w:rPr>
                <w:t>3170-AA60</w:t>
              </w:r>
            </w:hyperlink>
          </w:p>
        </w:tc>
      </w:tr>
      <w:tr w:rsidR="006356B1" w:rsidRPr="006356B1" w:rsidTr="006356B1">
        <w:trPr>
          <w:tblCellSpacing w:w="15" w:type="dxa"/>
        </w:trPr>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CFPB</w:t>
            </w:r>
          </w:p>
        </w:tc>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Final Rule Stage</w:t>
            </w:r>
          </w:p>
        </w:tc>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Amendments to Federal Mortgage Disclosure Requirements Under the Truth in Lending Act (Regulation Z)</w:t>
            </w:r>
          </w:p>
        </w:tc>
        <w:tc>
          <w:tcPr>
            <w:tcW w:w="0" w:type="auto"/>
            <w:shd w:val="clear" w:color="auto" w:fill="E8F0F9"/>
            <w:tcMar>
              <w:top w:w="30" w:type="dxa"/>
              <w:left w:w="30" w:type="dxa"/>
              <w:bottom w:w="30" w:type="dxa"/>
              <w:right w:w="30" w:type="dxa"/>
            </w:tcMar>
            <w:vAlign w:val="center"/>
            <w:hideMark/>
          </w:tcPr>
          <w:p w:rsidR="006356B1" w:rsidRPr="006356B1" w:rsidRDefault="00D30737" w:rsidP="006356B1">
            <w:pPr>
              <w:spacing w:after="0" w:line="240" w:lineRule="auto"/>
              <w:rPr>
                <w:rFonts w:ascii="Arial" w:eastAsia="Times New Roman" w:hAnsi="Arial" w:cs="Arial"/>
                <w:color w:val="000000"/>
                <w:sz w:val="18"/>
                <w:szCs w:val="18"/>
              </w:rPr>
            </w:pPr>
            <w:hyperlink r:id="rId62" w:history="1">
              <w:r w:rsidR="006356B1" w:rsidRPr="006356B1">
                <w:rPr>
                  <w:rFonts w:ascii="Arial" w:eastAsia="Times New Roman" w:hAnsi="Arial" w:cs="Arial"/>
                  <w:color w:val="0033FF"/>
                  <w:sz w:val="18"/>
                  <w:szCs w:val="18"/>
                  <w:u w:val="single"/>
                </w:rPr>
                <w:t>3170-AA61</w:t>
              </w:r>
            </w:hyperlink>
          </w:p>
        </w:tc>
      </w:tr>
      <w:tr w:rsidR="006356B1" w:rsidRPr="006356B1" w:rsidTr="006356B1">
        <w:trPr>
          <w:tblCellSpacing w:w="15" w:type="dxa"/>
        </w:trPr>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CFPB</w:t>
            </w:r>
          </w:p>
        </w:tc>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Final Rule Stage</w:t>
            </w:r>
          </w:p>
        </w:tc>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Amendments Relating to Disclosure of Records and Information</w:t>
            </w:r>
          </w:p>
        </w:tc>
        <w:tc>
          <w:tcPr>
            <w:tcW w:w="0" w:type="auto"/>
            <w:shd w:val="clear" w:color="auto" w:fill="FFFFFF"/>
            <w:tcMar>
              <w:top w:w="30" w:type="dxa"/>
              <w:left w:w="30" w:type="dxa"/>
              <w:bottom w:w="30" w:type="dxa"/>
              <w:right w:w="30" w:type="dxa"/>
            </w:tcMar>
            <w:vAlign w:val="center"/>
            <w:hideMark/>
          </w:tcPr>
          <w:p w:rsidR="006356B1" w:rsidRPr="006356B1" w:rsidRDefault="00D30737" w:rsidP="006356B1">
            <w:pPr>
              <w:spacing w:after="0" w:line="240" w:lineRule="auto"/>
              <w:rPr>
                <w:rFonts w:ascii="Arial" w:eastAsia="Times New Roman" w:hAnsi="Arial" w:cs="Arial"/>
                <w:color w:val="000000"/>
                <w:sz w:val="18"/>
                <w:szCs w:val="18"/>
              </w:rPr>
            </w:pPr>
            <w:hyperlink r:id="rId63" w:history="1">
              <w:r w:rsidR="006356B1" w:rsidRPr="006356B1">
                <w:rPr>
                  <w:rFonts w:ascii="Arial" w:eastAsia="Times New Roman" w:hAnsi="Arial" w:cs="Arial"/>
                  <w:color w:val="0033FF"/>
                  <w:sz w:val="18"/>
                  <w:szCs w:val="18"/>
                  <w:u w:val="single"/>
                </w:rPr>
                <w:t>3170-AA63</w:t>
              </w:r>
            </w:hyperlink>
          </w:p>
        </w:tc>
      </w:tr>
      <w:tr w:rsidR="006356B1" w:rsidRPr="006356B1" w:rsidTr="006356B1">
        <w:trPr>
          <w:tblCellSpacing w:w="15" w:type="dxa"/>
        </w:trPr>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CFPB</w:t>
            </w:r>
          </w:p>
        </w:tc>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Final Rule Stage</w:t>
            </w:r>
          </w:p>
        </w:tc>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Technical Corrections to the 2016 Amendments to the 2013 Mortgage Servicing Rules Under the Real Estate Settlement Procedures Act (Regulation X) and the Truth in Lending Act (Regulation Z)</w:t>
            </w:r>
          </w:p>
        </w:tc>
        <w:tc>
          <w:tcPr>
            <w:tcW w:w="0" w:type="auto"/>
            <w:shd w:val="clear" w:color="auto" w:fill="E8F0F9"/>
            <w:tcMar>
              <w:top w:w="30" w:type="dxa"/>
              <w:left w:w="30" w:type="dxa"/>
              <w:bottom w:w="30" w:type="dxa"/>
              <w:right w:w="30" w:type="dxa"/>
            </w:tcMar>
            <w:vAlign w:val="center"/>
            <w:hideMark/>
          </w:tcPr>
          <w:p w:rsidR="006356B1" w:rsidRPr="006356B1" w:rsidRDefault="00D30737" w:rsidP="006356B1">
            <w:pPr>
              <w:spacing w:after="0" w:line="240" w:lineRule="auto"/>
              <w:rPr>
                <w:rFonts w:ascii="Arial" w:eastAsia="Times New Roman" w:hAnsi="Arial" w:cs="Arial"/>
                <w:color w:val="000000"/>
                <w:sz w:val="18"/>
                <w:szCs w:val="18"/>
              </w:rPr>
            </w:pPr>
            <w:hyperlink r:id="rId64" w:history="1">
              <w:r w:rsidR="006356B1" w:rsidRPr="006356B1">
                <w:rPr>
                  <w:rFonts w:ascii="Arial" w:eastAsia="Times New Roman" w:hAnsi="Arial" w:cs="Arial"/>
                  <w:color w:val="0033FF"/>
                  <w:sz w:val="18"/>
                  <w:szCs w:val="18"/>
                  <w:u w:val="single"/>
                </w:rPr>
                <w:t>3170-AA74</w:t>
              </w:r>
            </w:hyperlink>
          </w:p>
        </w:tc>
      </w:tr>
    </w:tbl>
    <w:p w:rsidR="00305385" w:rsidRPr="00CA1ADD" w:rsidRDefault="00305385" w:rsidP="0052297A"/>
    <w:sectPr w:rsidR="00305385" w:rsidRPr="00CA1ADD" w:rsidSect="00C82D91">
      <w:headerReference w:type="default" r:id="rId65"/>
      <w:footerReference w:type="default" r:id="rId6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737" w:rsidRDefault="00D30737" w:rsidP="009516FB">
      <w:pPr>
        <w:spacing w:after="0" w:line="240" w:lineRule="auto"/>
      </w:pPr>
      <w:r>
        <w:separator/>
      </w:r>
    </w:p>
  </w:endnote>
  <w:endnote w:type="continuationSeparator" w:id="0">
    <w:p w:rsidR="00D30737" w:rsidRDefault="00D30737" w:rsidP="0095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BA3" w:rsidRDefault="00DF6BA3" w:rsidP="009516FB">
    <w:pPr>
      <w:pStyle w:val="Footer"/>
      <w:jc w:val="right"/>
    </w:pPr>
    <w:r>
      <w:rPr>
        <w:noProof/>
      </w:rPr>
      <w:drawing>
        <wp:inline distT="0" distB="0" distL="0" distR="0" wp14:anchorId="7666BC11" wp14:editId="5E49D36E">
          <wp:extent cx="2133600" cy="713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713105"/>
                  </a:xfrm>
                  <a:prstGeom prst="rect">
                    <a:avLst/>
                  </a:prstGeom>
                  <a:noFill/>
                </pic:spPr>
              </pic:pic>
            </a:graphicData>
          </a:graphic>
        </wp:inline>
      </w:drawing>
    </w:r>
    <w:r>
      <w:t xml:space="preserve">                                                  Legislative Update August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737" w:rsidRDefault="00D30737" w:rsidP="009516FB">
      <w:pPr>
        <w:spacing w:after="0" w:line="240" w:lineRule="auto"/>
      </w:pPr>
      <w:r>
        <w:separator/>
      </w:r>
    </w:p>
  </w:footnote>
  <w:footnote w:type="continuationSeparator" w:id="0">
    <w:p w:rsidR="00D30737" w:rsidRDefault="00D30737" w:rsidP="00951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199819"/>
      <w:docPartObj>
        <w:docPartGallery w:val="Page Numbers (Top of Page)"/>
        <w:docPartUnique/>
      </w:docPartObj>
    </w:sdtPr>
    <w:sdtEndPr>
      <w:rPr>
        <w:noProof/>
      </w:rPr>
    </w:sdtEndPr>
    <w:sdtContent>
      <w:p w:rsidR="00DF6BA3" w:rsidRDefault="00DF6BA3">
        <w:pPr>
          <w:pStyle w:val="Header"/>
          <w:jc w:val="right"/>
        </w:pPr>
        <w:r>
          <w:fldChar w:fldCharType="begin"/>
        </w:r>
        <w:r>
          <w:instrText xml:space="preserve"> PAGE   \* MERGEFORMAT </w:instrText>
        </w:r>
        <w:r>
          <w:fldChar w:fldCharType="separate"/>
        </w:r>
        <w:r w:rsidR="00132230">
          <w:rPr>
            <w:noProof/>
          </w:rPr>
          <w:t>3</w:t>
        </w:r>
        <w:r>
          <w:rPr>
            <w:noProof/>
          </w:rPr>
          <w:fldChar w:fldCharType="end"/>
        </w:r>
      </w:p>
    </w:sdtContent>
  </w:sdt>
  <w:p w:rsidR="00DF6BA3" w:rsidRDefault="00DF6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56EF"/>
    <w:multiLevelType w:val="multilevel"/>
    <w:tmpl w:val="C3AE8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20100"/>
    <w:multiLevelType w:val="hybridMultilevel"/>
    <w:tmpl w:val="F42E4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E7D9B"/>
    <w:multiLevelType w:val="hybridMultilevel"/>
    <w:tmpl w:val="58F067C4"/>
    <w:lvl w:ilvl="0" w:tplc="141CBF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76208"/>
    <w:multiLevelType w:val="hybridMultilevel"/>
    <w:tmpl w:val="20EC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A3CB8"/>
    <w:multiLevelType w:val="hybridMultilevel"/>
    <w:tmpl w:val="6C348528"/>
    <w:lvl w:ilvl="0" w:tplc="6A38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F03A7"/>
    <w:multiLevelType w:val="hybridMultilevel"/>
    <w:tmpl w:val="8A84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F6DCD"/>
    <w:multiLevelType w:val="hybridMultilevel"/>
    <w:tmpl w:val="D8BE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75FE3"/>
    <w:multiLevelType w:val="hybridMultilevel"/>
    <w:tmpl w:val="D51E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B3667"/>
    <w:multiLevelType w:val="hybridMultilevel"/>
    <w:tmpl w:val="BE043168"/>
    <w:lvl w:ilvl="0" w:tplc="8D5A21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611F3F"/>
    <w:multiLevelType w:val="hybridMultilevel"/>
    <w:tmpl w:val="100C1B8E"/>
    <w:lvl w:ilvl="0" w:tplc="6A38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3B54A7"/>
    <w:multiLevelType w:val="hybridMultilevel"/>
    <w:tmpl w:val="58345F68"/>
    <w:lvl w:ilvl="0" w:tplc="5024D6A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26A89"/>
    <w:multiLevelType w:val="multilevel"/>
    <w:tmpl w:val="9316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6A5532"/>
    <w:multiLevelType w:val="hybridMultilevel"/>
    <w:tmpl w:val="5178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810930"/>
    <w:multiLevelType w:val="hybridMultilevel"/>
    <w:tmpl w:val="BE984502"/>
    <w:lvl w:ilvl="0" w:tplc="6A38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5E26B6"/>
    <w:multiLevelType w:val="hybridMultilevel"/>
    <w:tmpl w:val="B35A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2517DE"/>
    <w:multiLevelType w:val="multilevel"/>
    <w:tmpl w:val="9A8E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F822BA"/>
    <w:multiLevelType w:val="hybridMultilevel"/>
    <w:tmpl w:val="C42A2EC0"/>
    <w:lvl w:ilvl="0" w:tplc="6A38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7"/>
  </w:num>
  <w:num w:numId="4">
    <w:abstractNumId w:val="5"/>
  </w:num>
  <w:num w:numId="5">
    <w:abstractNumId w:val="11"/>
  </w:num>
  <w:num w:numId="6">
    <w:abstractNumId w:val="1"/>
  </w:num>
  <w:num w:numId="7">
    <w:abstractNumId w:val="9"/>
  </w:num>
  <w:num w:numId="8">
    <w:abstractNumId w:val="8"/>
  </w:num>
  <w:num w:numId="9">
    <w:abstractNumId w:val="16"/>
  </w:num>
  <w:num w:numId="10">
    <w:abstractNumId w:val="4"/>
  </w:num>
  <w:num w:numId="11">
    <w:abstractNumId w:val="2"/>
  </w:num>
  <w:num w:numId="12">
    <w:abstractNumId w:val="13"/>
  </w:num>
  <w:num w:numId="13">
    <w:abstractNumId w:val="6"/>
  </w:num>
  <w:num w:numId="14">
    <w:abstractNumId w:val="14"/>
  </w:num>
  <w:num w:numId="15">
    <w:abstractNumId w:val="12"/>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B2"/>
    <w:rsid w:val="00000F1C"/>
    <w:rsid w:val="00001E88"/>
    <w:rsid w:val="00011112"/>
    <w:rsid w:val="00011F26"/>
    <w:rsid w:val="00012AE5"/>
    <w:rsid w:val="00013BF9"/>
    <w:rsid w:val="00013FA8"/>
    <w:rsid w:val="00015DF3"/>
    <w:rsid w:val="00016A3D"/>
    <w:rsid w:val="000209E6"/>
    <w:rsid w:val="00023584"/>
    <w:rsid w:val="00025D51"/>
    <w:rsid w:val="000315CD"/>
    <w:rsid w:val="00033069"/>
    <w:rsid w:val="00035E46"/>
    <w:rsid w:val="00036A9E"/>
    <w:rsid w:val="00040BC6"/>
    <w:rsid w:val="0004395A"/>
    <w:rsid w:val="00050E93"/>
    <w:rsid w:val="00053D69"/>
    <w:rsid w:val="0005474C"/>
    <w:rsid w:val="00062373"/>
    <w:rsid w:val="00063529"/>
    <w:rsid w:val="000704A8"/>
    <w:rsid w:val="0007572E"/>
    <w:rsid w:val="000775AE"/>
    <w:rsid w:val="000A7D77"/>
    <w:rsid w:val="000B064B"/>
    <w:rsid w:val="000B58B1"/>
    <w:rsid w:val="000B73D8"/>
    <w:rsid w:val="000C57E2"/>
    <w:rsid w:val="000C6F62"/>
    <w:rsid w:val="000D01F6"/>
    <w:rsid w:val="000D2411"/>
    <w:rsid w:val="000D42A1"/>
    <w:rsid w:val="000E0E4E"/>
    <w:rsid w:val="000E1F7A"/>
    <w:rsid w:val="000E30F3"/>
    <w:rsid w:val="000E30FB"/>
    <w:rsid w:val="000F5081"/>
    <w:rsid w:val="001053D2"/>
    <w:rsid w:val="00105532"/>
    <w:rsid w:val="00105BF0"/>
    <w:rsid w:val="00113262"/>
    <w:rsid w:val="00114BD2"/>
    <w:rsid w:val="0012584F"/>
    <w:rsid w:val="00132230"/>
    <w:rsid w:val="001328C5"/>
    <w:rsid w:val="001371A1"/>
    <w:rsid w:val="00137A4B"/>
    <w:rsid w:val="00140848"/>
    <w:rsid w:val="00143775"/>
    <w:rsid w:val="001503AF"/>
    <w:rsid w:val="00152E97"/>
    <w:rsid w:val="00154381"/>
    <w:rsid w:val="0015450F"/>
    <w:rsid w:val="00155503"/>
    <w:rsid w:val="00155BB2"/>
    <w:rsid w:val="00172B95"/>
    <w:rsid w:val="00173106"/>
    <w:rsid w:val="00174A57"/>
    <w:rsid w:val="00176A30"/>
    <w:rsid w:val="00176BAE"/>
    <w:rsid w:val="00182997"/>
    <w:rsid w:val="0018553E"/>
    <w:rsid w:val="0018601B"/>
    <w:rsid w:val="00186550"/>
    <w:rsid w:val="001924F5"/>
    <w:rsid w:val="0019373F"/>
    <w:rsid w:val="001B36FB"/>
    <w:rsid w:val="001B4818"/>
    <w:rsid w:val="001B4DB6"/>
    <w:rsid w:val="001C2463"/>
    <w:rsid w:val="001C24FB"/>
    <w:rsid w:val="001F2A05"/>
    <w:rsid w:val="001F4193"/>
    <w:rsid w:val="00201A42"/>
    <w:rsid w:val="00207316"/>
    <w:rsid w:val="00215590"/>
    <w:rsid w:val="00217B65"/>
    <w:rsid w:val="0022595F"/>
    <w:rsid w:val="00225F57"/>
    <w:rsid w:val="00233F19"/>
    <w:rsid w:val="002362A2"/>
    <w:rsid w:val="00242AD6"/>
    <w:rsid w:val="00251848"/>
    <w:rsid w:val="00261F16"/>
    <w:rsid w:val="002635E0"/>
    <w:rsid w:val="00265D6B"/>
    <w:rsid w:val="00272CD7"/>
    <w:rsid w:val="00274CDA"/>
    <w:rsid w:val="00281928"/>
    <w:rsid w:val="00294580"/>
    <w:rsid w:val="002A2AC6"/>
    <w:rsid w:val="002B082F"/>
    <w:rsid w:val="002B38F0"/>
    <w:rsid w:val="002B4E3D"/>
    <w:rsid w:val="002B6DAC"/>
    <w:rsid w:val="002C3090"/>
    <w:rsid w:val="002C4A0B"/>
    <w:rsid w:val="002D029F"/>
    <w:rsid w:val="002E109D"/>
    <w:rsid w:val="002F3DF3"/>
    <w:rsid w:val="002F4525"/>
    <w:rsid w:val="003011AF"/>
    <w:rsid w:val="003017B9"/>
    <w:rsid w:val="00305385"/>
    <w:rsid w:val="003245BB"/>
    <w:rsid w:val="00336022"/>
    <w:rsid w:val="00336C3F"/>
    <w:rsid w:val="00356321"/>
    <w:rsid w:val="0035707A"/>
    <w:rsid w:val="003571A7"/>
    <w:rsid w:val="003632A8"/>
    <w:rsid w:val="0036422D"/>
    <w:rsid w:val="00366CE9"/>
    <w:rsid w:val="0038010D"/>
    <w:rsid w:val="00394799"/>
    <w:rsid w:val="003A1E17"/>
    <w:rsid w:val="003A55AB"/>
    <w:rsid w:val="003B117B"/>
    <w:rsid w:val="003B2BCF"/>
    <w:rsid w:val="003B5637"/>
    <w:rsid w:val="003B5E21"/>
    <w:rsid w:val="003C0D33"/>
    <w:rsid w:val="003C29B7"/>
    <w:rsid w:val="003C7920"/>
    <w:rsid w:val="003D28DF"/>
    <w:rsid w:val="003D64B3"/>
    <w:rsid w:val="003E0302"/>
    <w:rsid w:val="003E2AD1"/>
    <w:rsid w:val="003E70C6"/>
    <w:rsid w:val="003F618F"/>
    <w:rsid w:val="004070E9"/>
    <w:rsid w:val="00413996"/>
    <w:rsid w:val="00422978"/>
    <w:rsid w:val="00423E3C"/>
    <w:rsid w:val="0042461E"/>
    <w:rsid w:val="004331F4"/>
    <w:rsid w:val="00433916"/>
    <w:rsid w:val="00435186"/>
    <w:rsid w:val="00441BEF"/>
    <w:rsid w:val="00443C0F"/>
    <w:rsid w:val="00444FFD"/>
    <w:rsid w:val="00445E61"/>
    <w:rsid w:val="0044667C"/>
    <w:rsid w:val="00451B34"/>
    <w:rsid w:val="00451DB7"/>
    <w:rsid w:val="00453DA0"/>
    <w:rsid w:val="0045483F"/>
    <w:rsid w:val="004629C9"/>
    <w:rsid w:val="004670B2"/>
    <w:rsid w:val="004801A3"/>
    <w:rsid w:val="0048047D"/>
    <w:rsid w:val="00494DA3"/>
    <w:rsid w:val="00495CD2"/>
    <w:rsid w:val="004B0CF2"/>
    <w:rsid w:val="004B1A12"/>
    <w:rsid w:val="004B4C3C"/>
    <w:rsid w:val="004B7407"/>
    <w:rsid w:val="004C2F31"/>
    <w:rsid w:val="004C4FD5"/>
    <w:rsid w:val="004D2631"/>
    <w:rsid w:val="004D5C8D"/>
    <w:rsid w:val="004E02B2"/>
    <w:rsid w:val="004E6E06"/>
    <w:rsid w:val="004F6A93"/>
    <w:rsid w:val="004F7B91"/>
    <w:rsid w:val="00502F4F"/>
    <w:rsid w:val="00503A84"/>
    <w:rsid w:val="00513A6B"/>
    <w:rsid w:val="005208A0"/>
    <w:rsid w:val="0052297A"/>
    <w:rsid w:val="00525941"/>
    <w:rsid w:val="00526961"/>
    <w:rsid w:val="005465C5"/>
    <w:rsid w:val="00562BB0"/>
    <w:rsid w:val="00570D75"/>
    <w:rsid w:val="0057444C"/>
    <w:rsid w:val="005908B4"/>
    <w:rsid w:val="005958A6"/>
    <w:rsid w:val="005A164C"/>
    <w:rsid w:val="005A2665"/>
    <w:rsid w:val="005A3D38"/>
    <w:rsid w:val="005B2EEA"/>
    <w:rsid w:val="005B6004"/>
    <w:rsid w:val="005C072A"/>
    <w:rsid w:val="005D3CAC"/>
    <w:rsid w:val="005D461B"/>
    <w:rsid w:val="005D4EA4"/>
    <w:rsid w:val="005F4AC9"/>
    <w:rsid w:val="005F4D1E"/>
    <w:rsid w:val="005F6C21"/>
    <w:rsid w:val="005F7105"/>
    <w:rsid w:val="00600018"/>
    <w:rsid w:val="006002DF"/>
    <w:rsid w:val="00603473"/>
    <w:rsid w:val="00605BAB"/>
    <w:rsid w:val="00615725"/>
    <w:rsid w:val="006264E4"/>
    <w:rsid w:val="00630088"/>
    <w:rsid w:val="00630275"/>
    <w:rsid w:val="00630DEC"/>
    <w:rsid w:val="00632317"/>
    <w:rsid w:val="00634CA3"/>
    <w:rsid w:val="006356B1"/>
    <w:rsid w:val="00643760"/>
    <w:rsid w:val="00644E58"/>
    <w:rsid w:val="006468AC"/>
    <w:rsid w:val="00651041"/>
    <w:rsid w:val="00652A21"/>
    <w:rsid w:val="006564E8"/>
    <w:rsid w:val="00664528"/>
    <w:rsid w:val="00667C6B"/>
    <w:rsid w:val="00671C4F"/>
    <w:rsid w:val="00671FE4"/>
    <w:rsid w:val="00672066"/>
    <w:rsid w:val="006908CC"/>
    <w:rsid w:val="00692031"/>
    <w:rsid w:val="00693EF2"/>
    <w:rsid w:val="00696DF2"/>
    <w:rsid w:val="006A0683"/>
    <w:rsid w:val="006A2918"/>
    <w:rsid w:val="006A7271"/>
    <w:rsid w:val="006B3DE0"/>
    <w:rsid w:val="006B67AC"/>
    <w:rsid w:val="006B6D03"/>
    <w:rsid w:val="006C0A16"/>
    <w:rsid w:val="006C3107"/>
    <w:rsid w:val="006D0C47"/>
    <w:rsid w:val="006D2DF4"/>
    <w:rsid w:val="006D4256"/>
    <w:rsid w:val="006E10DB"/>
    <w:rsid w:val="00704921"/>
    <w:rsid w:val="0070652F"/>
    <w:rsid w:val="007075BA"/>
    <w:rsid w:val="00710285"/>
    <w:rsid w:val="00711B89"/>
    <w:rsid w:val="007122A3"/>
    <w:rsid w:val="00714311"/>
    <w:rsid w:val="00734132"/>
    <w:rsid w:val="00734991"/>
    <w:rsid w:val="00747D22"/>
    <w:rsid w:val="0075139C"/>
    <w:rsid w:val="00753D11"/>
    <w:rsid w:val="00757371"/>
    <w:rsid w:val="0076011C"/>
    <w:rsid w:val="00766A8A"/>
    <w:rsid w:val="00766BE3"/>
    <w:rsid w:val="007761FF"/>
    <w:rsid w:val="00780EB2"/>
    <w:rsid w:val="0079268D"/>
    <w:rsid w:val="007A1759"/>
    <w:rsid w:val="007A49A6"/>
    <w:rsid w:val="007A4A48"/>
    <w:rsid w:val="007A78BD"/>
    <w:rsid w:val="007B2E65"/>
    <w:rsid w:val="007C7A17"/>
    <w:rsid w:val="007E2F0F"/>
    <w:rsid w:val="007E5A30"/>
    <w:rsid w:val="007F1644"/>
    <w:rsid w:val="007F444F"/>
    <w:rsid w:val="007F4EEC"/>
    <w:rsid w:val="0080103B"/>
    <w:rsid w:val="00804BDF"/>
    <w:rsid w:val="00806853"/>
    <w:rsid w:val="008111CC"/>
    <w:rsid w:val="0081242C"/>
    <w:rsid w:val="0082731E"/>
    <w:rsid w:val="00847BAF"/>
    <w:rsid w:val="00854729"/>
    <w:rsid w:val="008577CC"/>
    <w:rsid w:val="00857D6B"/>
    <w:rsid w:val="00860655"/>
    <w:rsid w:val="0086329F"/>
    <w:rsid w:val="00863C31"/>
    <w:rsid w:val="00864656"/>
    <w:rsid w:val="00870B44"/>
    <w:rsid w:val="0087131F"/>
    <w:rsid w:val="00871704"/>
    <w:rsid w:val="00873B59"/>
    <w:rsid w:val="008756E8"/>
    <w:rsid w:val="00881E57"/>
    <w:rsid w:val="008821F9"/>
    <w:rsid w:val="00886D2A"/>
    <w:rsid w:val="00891FE6"/>
    <w:rsid w:val="00897886"/>
    <w:rsid w:val="008A14C6"/>
    <w:rsid w:val="008B03E6"/>
    <w:rsid w:val="008B5C5C"/>
    <w:rsid w:val="008C7F59"/>
    <w:rsid w:val="008D2F1A"/>
    <w:rsid w:val="008D78E1"/>
    <w:rsid w:val="008D798D"/>
    <w:rsid w:val="008E19EA"/>
    <w:rsid w:val="008E28CB"/>
    <w:rsid w:val="008E296D"/>
    <w:rsid w:val="008E711C"/>
    <w:rsid w:val="0090200C"/>
    <w:rsid w:val="0091703E"/>
    <w:rsid w:val="00920A21"/>
    <w:rsid w:val="00924FE5"/>
    <w:rsid w:val="00925885"/>
    <w:rsid w:val="0093055F"/>
    <w:rsid w:val="009322F0"/>
    <w:rsid w:val="00933EB4"/>
    <w:rsid w:val="009478D9"/>
    <w:rsid w:val="009516FB"/>
    <w:rsid w:val="00957814"/>
    <w:rsid w:val="009711D2"/>
    <w:rsid w:val="00980B64"/>
    <w:rsid w:val="00980C97"/>
    <w:rsid w:val="009837E4"/>
    <w:rsid w:val="00983CC0"/>
    <w:rsid w:val="00990BAD"/>
    <w:rsid w:val="00992B33"/>
    <w:rsid w:val="009937AD"/>
    <w:rsid w:val="0099690E"/>
    <w:rsid w:val="0099695C"/>
    <w:rsid w:val="009A5E71"/>
    <w:rsid w:val="009A716D"/>
    <w:rsid w:val="009A7FE9"/>
    <w:rsid w:val="009B25D5"/>
    <w:rsid w:val="009C467C"/>
    <w:rsid w:val="009C4E16"/>
    <w:rsid w:val="009C5026"/>
    <w:rsid w:val="009D0E2F"/>
    <w:rsid w:val="009E1BCF"/>
    <w:rsid w:val="009F00D3"/>
    <w:rsid w:val="00A03475"/>
    <w:rsid w:val="00A07BED"/>
    <w:rsid w:val="00A10A42"/>
    <w:rsid w:val="00A13CB2"/>
    <w:rsid w:val="00A218E1"/>
    <w:rsid w:val="00A367AD"/>
    <w:rsid w:val="00A371E4"/>
    <w:rsid w:val="00A4724C"/>
    <w:rsid w:val="00A54A69"/>
    <w:rsid w:val="00A731C9"/>
    <w:rsid w:val="00A770CD"/>
    <w:rsid w:val="00A775BA"/>
    <w:rsid w:val="00A807C0"/>
    <w:rsid w:val="00A809DC"/>
    <w:rsid w:val="00A81DA4"/>
    <w:rsid w:val="00A82B32"/>
    <w:rsid w:val="00A84002"/>
    <w:rsid w:val="00A8721F"/>
    <w:rsid w:val="00A96822"/>
    <w:rsid w:val="00A96B19"/>
    <w:rsid w:val="00A97370"/>
    <w:rsid w:val="00AB217B"/>
    <w:rsid w:val="00AC1EC4"/>
    <w:rsid w:val="00AC28C6"/>
    <w:rsid w:val="00AC6A22"/>
    <w:rsid w:val="00AD2397"/>
    <w:rsid w:val="00AD5075"/>
    <w:rsid w:val="00AD5A87"/>
    <w:rsid w:val="00AD5AFA"/>
    <w:rsid w:val="00AD6AF4"/>
    <w:rsid w:val="00AE3001"/>
    <w:rsid w:val="00AE3AA2"/>
    <w:rsid w:val="00AF302A"/>
    <w:rsid w:val="00AF6446"/>
    <w:rsid w:val="00B0179F"/>
    <w:rsid w:val="00B01B28"/>
    <w:rsid w:val="00B11197"/>
    <w:rsid w:val="00B1468E"/>
    <w:rsid w:val="00B1548D"/>
    <w:rsid w:val="00B2494D"/>
    <w:rsid w:val="00B34E2E"/>
    <w:rsid w:val="00B355D2"/>
    <w:rsid w:val="00B35870"/>
    <w:rsid w:val="00B440A3"/>
    <w:rsid w:val="00B52D08"/>
    <w:rsid w:val="00B532FB"/>
    <w:rsid w:val="00B623E9"/>
    <w:rsid w:val="00B66E90"/>
    <w:rsid w:val="00B67699"/>
    <w:rsid w:val="00B71928"/>
    <w:rsid w:val="00B819BC"/>
    <w:rsid w:val="00B95B4E"/>
    <w:rsid w:val="00B975E7"/>
    <w:rsid w:val="00BA5444"/>
    <w:rsid w:val="00BB1B58"/>
    <w:rsid w:val="00BB6B54"/>
    <w:rsid w:val="00BD479B"/>
    <w:rsid w:val="00BD5ADC"/>
    <w:rsid w:val="00BE0258"/>
    <w:rsid w:val="00BF0D7B"/>
    <w:rsid w:val="00C012BB"/>
    <w:rsid w:val="00C02DF2"/>
    <w:rsid w:val="00C0564A"/>
    <w:rsid w:val="00C12A79"/>
    <w:rsid w:val="00C15289"/>
    <w:rsid w:val="00C15E43"/>
    <w:rsid w:val="00C1691D"/>
    <w:rsid w:val="00C26AA8"/>
    <w:rsid w:val="00C40D53"/>
    <w:rsid w:val="00C417A3"/>
    <w:rsid w:val="00C5176C"/>
    <w:rsid w:val="00C52445"/>
    <w:rsid w:val="00C53A07"/>
    <w:rsid w:val="00C55F49"/>
    <w:rsid w:val="00C56584"/>
    <w:rsid w:val="00C6554D"/>
    <w:rsid w:val="00C6732A"/>
    <w:rsid w:val="00C721DB"/>
    <w:rsid w:val="00C77CEE"/>
    <w:rsid w:val="00C82D91"/>
    <w:rsid w:val="00C83BE8"/>
    <w:rsid w:val="00C950B3"/>
    <w:rsid w:val="00CA0305"/>
    <w:rsid w:val="00CA1ADD"/>
    <w:rsid w:val="00CA2872"/>
    <w:rsid w:val="00CA675A"/>
    <w:rsid w:val="00CC43EC"/>
    <w:rsid w:val="00CC60FF"/>
    <w:rsid w:val="00CD1AC9"/>
    <w:rsid w:val="00CE1A73"/>
    <w:rsid w:val="00CE26B8"/>
    <w:rsid w:val="00CE778F"/>
    <w:rsid w:val="00CF22C2"/>
    <w:rsid w:val="00CF661F"/>
    <w:rsid w:val="00D06E2E"/>
    <w:rsid w:val="00D07FA6"/>
    <w:rsid w:val="00D1188B"/>
    <w:rsid w:val="00D121D2"/>
    <w:rsid w:val="00D12C32"/>
    <w:rsid w:val="00D25AD2"/>
    <w:rsid w:val="00D3009A"/>
    <w:rsid w:val="00D30737"/>
    <w:rsid w:val="00D311E0"/>
    <w:rsid w:val="00D342C8"/>
    <w:rsid w:val="00D42123"/>
    <w:rsid w:val="00D4416D"/>
    <w:rsid w:val="00D55BF3"/>
    <w:rsid w:val="00D608FB"/>
    <w:rsid w:val="00D64643"/>
    <w:rsid w:val="00D830AA"/>
    <w:rsid w:val="00D84E99"/>
    <w:rsid w:val="00DB2422"/>
    <w:rsid w:val="00DB5E19"/>
    <w:rsid w:val="00DC082C"/>
    <w:rsid w:val="00DC094A"/>
    <w:rsid w:val="00DC5948"/>
    <w:rsid w:val="00DC71AF"/>
    <w:rsid w:val="00DD0103"/>
    <w:rsid w:val="00DD09C7"/>
    <w:rsid w:val="00DD1CB4"/>
    <w:rsid w:val="00DD3953"/>
    <w:rsid w:val="00DD3ABC"/>
    <w:rsid w:val="00DF0747"/>
    <w:rsid w:val="00DF483C"/>
    <w:rsid w:val="00DF6BA3"/>
    <w:rsid w:val="00E02279"/>
    <w:rsid w:val="00E06462"/>
    <w:rsid w:val="00E11D08"/>
    <w:rsid w:val="00E13DD7"/>
    <w:rsid w:val="00E31C1A"/>
    <w:rsid w:val="00E31E6D"/>
    <w:rsid w:val="00E51E01"/>
    <w:rsid w:val="00E5659B"/>
    <w:rsid w:val="00E60521"/>
    <w:rsid w:val="00E60F45"/>
    <w:rsid w:val="00E6563B"/>
    <w:rsid w:val="00E7520E"/>
    <w:rsid w:val="00E80D83"/>
    <w:rsid w:val="00E81DCB"/>
    <w:rsid w:val="00E84648"/>
    <w:rsid w:val="00E95C60"/>
    <w:rsid w:val="00EA7A23"/>
    <w:rsid w:val="00EB2BA8"/>
    <w:rsid w:val="00EC5CB5"/>
    <w:rsid w:val="00ED793F"/>
    <w:rsid w:val="00EE477C"/>
    <w:rsid w:val="00EE48A8"/>
    <w:rsid w:val="00EF1DD3"/>
    <w:rsid w:val="00EF618B"/>
    <w:rsid w:val="00F026C4"/>
    <w:rsid w:val="00F02739"/>
    <w:rsid w:val="00F04513"/>
    <w:rsid w:val="00F059BB"/>
    <w:rsid w:val="00F067FC"/>
    <w:rsid w:val="00F2538A"/>
    <w:rsid w:val="00F26504"/>
    <w:rsid w:val="00F26D48"/>
    <w:rsid w:val="00F36F1A"/>
    <w:rsid w:val="00F43456"/>
    <w:rsid w:val="00F443AC"/>
    <w:rsid w:val="00F507E6"/>
    <w:rsid w:val="00F517EF"/>
    <w:rsid w:val="00F55547"/>
    <w:rsid w:val="00F628F8"/>
    <w:rsid w:val="00F6705E"/>
    <w:rsid w:val="00F7041B"/>
    <w:rsid w:val="00F76BD4"/>
    <w:rsid w:val="00F83CF7"/>
    <w:rsid w:val="00F8598C"/>
    <w:rsid w:val="00F90EDC"/>
    <w:rsid w:val="00F964D3"/>
    <w:rsid w:val="00F970CC"/>
    <w:rsid w:val="00FA16B3"/>
    <w:rsid w:val="00FA7669"/>
    <w:rsid w:val="00FC005D"/>
    <w:rsid w:val="00FC1B53"/>
    <w:rsid w:val="00FC4C42"/>
    <w:rsid w:val="00FC60FC"/>
    <w:rsid w:val="00FD3FF3"/>
    <w:rsid w:val="00FD690C"/>
    <w:rsid w:val="00FE2F01"/>
    <w:rsid w:val="00FF3D8B"/>
    <w:rsid w:val="00FF7353"/>
    <w:rsid w:val="00FF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EB3F8"/>
  <w15:docId w15:val="{BA0B5738-5880-4AB4-A1B5-C2C633F0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0B2"/>
    <w:rPr>
      <w:rFonts w:eastAsiaTheme="minorEastAsia"/>
    </w:rPr>
  </w:style>
  <w:style w:type="paragraph" w:styleId="Heading2">
    <w:name w:val="heading 2"/>
    <w:basedOn w:val="Normal"/>
    <w:next w:val="Normal"/>
    <w:link w:val="Heading2Char"/>
    <w:uiPriority w:val="9"/>
    <w:semiHidden/>
    <w:unhideWhenUsed/>
    <w:qFormat/>
    <w:rsid w:val="000330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7E5A30"/>
    <w:pPr>
      <w:spacing w:before="75" w:after="75"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0B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70B2"/>
    <w:rPr>
      <w:color w:val="0000FF" w:themeColor="hyperlink"/>
      <w:u w:val="single"/>
    </w:rPr>
  </w:style>
  <w:style w:type="character" w:customStyle="1" w:styleId="h31">
    <w:name w:val="h31"/>
    <w:basedOn w:val="DefaultParagraphFont"/>
    <w:rsid w:val="00DB2422"/>
    <w:rPr>
      <w:rFonts w:ascii="Arial Black" w:hAnsi="Arial Black" w:hint="default"/>
      <w:b w:val="0"/>
      <w:bCs w:val="0"/>
      <w:color w:val="000000"/>
      <w:sz w:val="24"/>
      <w:szCs w:val="24"/>
    </w:rPr>
  </w:style>
  <w:style w:type="paragraph" w:styleId="NormalWeb">
    <w:name w:val="Normal (Web)"/>
    <w:basedOn w:val="Normal"/>
    <w:uiPriority w:val="99"/>
    <w:unhideWhenUsed/>
    <w:rsid w:val="00F5554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B1A12"/>
    <w:rPr>
      <w:color w:val="800080" w:themeColor="followedHyperlink"/>
      <w:u w:val="single"/>
    </w:rPr>
  </w:style>
  <w:style w:type="character" w:styleId="Strong">
    <w:name w:val="Strong"/>
    <w:basedOn w:val="DefaultParagraphFont"/>
    <w:uiPriority w:val="22"/>
    <w:qFormat/>
    <w:rsid w:val="00F02739"/>
    <w:rPr>
      <w:b/>
      <w:bCs/>
    </w:rPr>
  </w:style>
  <w:style w:type="paragraph" w:styleId="BalloonText">
    <w:name w:val="Balloon Text"/>
    <w:basedOn w:val="Normal"/>
    <w:link w:val="BalloonTextChar"/>
    <w:uiPriority w:val="99"/>
    <w:semiHidden/>
    <w:unhideWhenUsed/>
    <w:rsid w:val="00951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6FB"/>
    <w:rPr>
      <w:rFonts w:ascii="Tahoma" w:eastAsiaTheme="minorEastAsia" w:hAnsi="Tahoma" w:cs="Tahoma"/>
      <w:sz w:val="16"/>
      <w:szCs w:val="16"/>
    </w:rPr>
  </w:style>
  <w:style w:type="paragraph" w:styleId="Header">
    <w:name w:val="header"/>
    <w:basedOn w:val="Normal"/>
    <w:link w:val="HeaderChar"/>
    <w:uiPriority w:val="99"/>
    <w:unhideWhenUsed/>
    <w:rsid w:val="00951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6FB"/>
    <w:rPr>
      <w:rFonts w:eastAsiaTheme="minorEastAsia"/>
    </w:rPr>
  </w:style>
  <w:style w:type="paragraph" w:styleId="Footer">
    <w:name w:val="footer"/>
    <w:basedOn w:val="Normal"/>
    <w:link w:val="FooterChar"/>
    <w:uiPriority w:val="99"/>
    <w:unhideWhenUsed/>
    <w:rsid w:val="00951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6FB"/>
    <w:rPr>
      <w:rFonts w:eastAsiaTheme="minorEastAsia"/>
    </w:rPr>
  </w:style>
  <w:style w:type="character" w:customStyle="1" w:styleId="volume">
    <w:name w:val="volume"/>
    <w:basedOn w:val="DefaultParagraphFont"/>
    <w:rsid w:val="00C1691D"/>
  </w:style>
  <w:style w:type="character" w:customStyle="1" w:styleId="page">
    <w:name w:val="page"/>
    <w:basedOn w:val="DefaultParagraphFont"/>
    <w:rsid w:val="00C1691D"/>
  </w:style>
  <w:style w:type="paragraph" w:styleId="ListParagraph">
    <w:name w:val="List Paragraph"/>
    <w:basedOn w:val="Normal"/>
    <w:uiPriority w:val="34"/>
    <w:qFormat/>
    <w:rsid w:val="00356321"/>
    <w:pPr>
      <w:ind w:left="720"/>
      <w:contextualSpacing/>
    </w:pPr>
  </w:style>
  <w:style w:type="character" w:styleId="CommentReference">
    <w:name w:val="annotation reference"/>
    <w:basedOn w:val="DefaultParagraphFont"/>
    <w:uiPriority w:val="99"/>
    <w:semiHidden/>
    <w:unhideWhenUsed/>
    <w:rsid w:val="00C950B3"/>
    <w:rPr>
      <w:sz w:val="16"/>
      <w:szCs w:val="16"/>
    </w:rPr>
  </w:style>
  <w:style w:type="paragraph" w:styleId="CommentText">
    <w:name w:val="annotation text"/>
    <w:basedOn w:val="Normal"/>
    <w:link w:val="CommentTextChar"/>
    <w:uiPriority w:val="99"/>
    <w:semiHidden/>
    <w:unhideWhenUsed/>
    <w:rsid w:val="00C950B3"/>
    <w:pPr>
      <w:spacing w:line="240" w:lineRule="auto"/>
    </w:pPr>
    <w:rPr>
      <w:sz w:val="20"/>
      <w:szCs w:val="20"/>
    </w:rPr>
  </w:style>
  <w:style w:type="character" w:customStyle="1" w:styleId="CommentTextChar">
    <w:name w:val="Comment Text Char"/>
    <w:basedOn w:val="DefaultParagraphFont"/>
    <w:link w:val="CommentText"/>
    <w:uiPriority w:val="99"/>
    <w:semiHidden/>
    <w:rsid w:val="00C950B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950B3"/>
    <w:rPr>
      <w:b/>
      <w:bCs/>
    </w:rPr>
  </w:style>
  <w:style w:type="character" w:customStyle="1" w:styleId="CommentSubjectChar">
    <w:name w:val="Comment Subject Char"/>
    <w:basedOn w:val="CommentTextChar"/>
    <w:link w:val="CommentSubject"/>
    <w:uiPriority w:val="99"/>
    <w:semiHidden/>
    <w:rsid w:val="00C950B3"/>
    <w:rPr>
      <w:rFonts w:eastAsiaTheme="minorEastAsia"/>
      <w:b/>
      <w:bCs/>
      <w:sz w:val="20"/>
      <w:szCs w:val="20"/>
    </w:rPr>
  </w:style>
  <w:style w:type="character" w:customStyle="1" w:styleId="apple-converted-space">
    <w:name w:val="apple-converted-space"/>
    <w:basedOn w:val="DefaultParagraphFont"/>
    <w:rsid w:val="007761FF"/>
  </w:style>
  <w:style w:type="character" w:customStyle="1" w:styleId="Heading4Char">
    <w:name w:val="Heading 4 Char"/>
    <w:basedOn w:val="DefaultParagraphFont"/>
    <w:link w:val="Heading4"/>
    <w:uiPriority w:val="9"/>
    <w:rsid w:val="007E5A30"/>
    <w:rPr>
      <w:rFonts w:ascii="Times New Roman" w:eastAsia="Times New Roman" w:hAnsi="Times New Roman" w:cs="Times New Roman"/>
      <w:b/>
      <w:bCs/>
      <w:sz w:val="24"/>
      <w:szCs w:val="24"/>
    </w:rPr>
  </w:style>
  <w:style w:type="character" w:styleId="Emphasis">
    <w:name w:val="Emphasis"/>
    <w:basedOn w:val="DefaultParagraphFont"/>
    <w:uiPriority w:val="20"/>
    <w:qFormat/>
    <w:rsid w:val="008E19EA"/>
    <w:rPr>
      <w:i/>
      <w:iCs/>
    </w:rPr>
  </w:style>
  <w:style w:type="character" w:customStyle="1" w:styleId="Heading2Char">
    <w:name w:val="Heading 2 Char"/>
    <w:basedOn w:val="DefaultParagraphFont"/>
    <w:link w:val="Heading2"/>
    <w:uiPriority w:val="9"/>
    <w:semiHidden/>
    <w:rsid w:val="00033069"/>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semiHidden/>
    <w:unhideWhenUsed/>
    <w:rsid w:val="000E30FB"/>
    <w:rPr>
      <w:color w:val="2B579A"/>
      <w:shd w:val="clear" w:color="auto" w:fill="E6E6E6"/>
    </w:rPr>
  </w:style>
  <w:style w:type="character" w:styleId="UnresolvedMention">
    <w:name w:val="Unresolved Mention"/>
    <w:basedOn w:val="DefaultParagraphFont"/>
    <w:uiPriority w:val="99"/>
    <w:semiHidden/>
    <w:unhideWhenUsed/>
    <w:rsid w:val="00011F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0969">
      <w:bodyDiv w:val="1"/>
      <w:marLeft w:val="0"/>
      <w:marRight w:val="0"/>
      <w:marTop w:val="0"/>
      <w:marBottom w:val="0"/>
      <w:divBdr>
        <w:top w:val="none" w:sz="0" w:space="0" w:color="auto"/>
        <w:left w:val="none" w:sz="0" w:space="0" w:color="auto"/>
        <w:bottom w:val="none" w:sz="0" w:space="0" w:color="auto"/>
        <w:right w:val="none" w:sz="0" w:space="0" w:color="auto"/>
      </w:divBdr>
      <w:divsChild>
        <w:div w:id="922839204">
          <w:marLeft w:val="0"/>
          <w:marRight w:val="0"/>
          <w:marTop w:val="0"/>
          <w:marBottom w:val="0"/>
          <w:divBdr>
            <w:top w:val="none" w:sz="0" w:space="0" w:color="auto"/>
            <w:left w:val="none" w:sz="0" w:space="0" w:color="auto"/>
            <w:bottom w:val="none" w:sz="0" w:space="0" w:color="auto"/>
            <w:right w:val="none" w:sz="0" w:space="0" w:color="auto"/>
          </w:divBdr>
          <w:divsChild>
            <w:div w:id="1075711462">
              <w:marLeft w:val="0"/>
              <w:marRight w:val="0"/>
              <w:marTop w:val="0"/>
              <w:marBottom w:val="0"/>
              <w:divBdr>
                <w:top w:val="none" w:sz="0" w:space="0" w:color="auto"/>
                <w:left w:val="none" w:sz="0" w:space="0" w:color="auto"/>
                <w:bottom w:val="none" w:sz="0" w:space="0" w:color="auto"/>
                <w:right w:val="none" w:sz="0" w:space="0" w:color="auto"/>
              </w:divBdr>
              <w:divsChild>
                <w:div w:id="921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040">
      <w:bodyDiv w:val="1"/>
      <w:marLeft w:val="0"/>
      <w:marRight w:val="0"/>
      <w:marTop w:val="0"/>
      <w:marBottom w:val="0"/>
      <w:divBdr>
        <w:top w:val="none" w:sz="0" w:space="0" w:color="auto"/>
        <w:left w:val="none" w:sz="0" w:space="0" w:color="auto"/>
        <w:bottom w:val="none" w:sz="0" w:space="0" w:color="auto"/>
        <w:right w:val="none" w:sz="0" w:space="0" w:color="auto"/>
      </w:divBdr>
    </w:div>
    <w:div w:id="1038554086">
      <w:bodyDiv w:val="1"/>
      <w:marLeft w:val="0"/>
      <w:marRight w:val="0"/>
      <w:marTop w:val="0"/>
      <w:marBottom w:val="0"/>
      <w:divBdr>
        <w:top w:val="none" w:sz="0" w:space="0" w:color="auto"/>
        <w:left w:val="none" w:sz="0" w:space="0" w:color="auto"/>
        <w:bottom w:val="none" w:sz="0" w:space="0" w:color="auto"/>
        <w:right w:val="none" w:sz="0" w:space="0" w:color="auto"/>
      </w:divBdr>
    </w:div>
    <w:div w:id="1131436610">
      <w:bodyDiv w:val="1"/>
      <w:marLeft w:val="0"/>
      <w:marRight w:val="0"/>
      <w:marTop w:val="0"/>
      <w:marBottom w:val="0"/>
      <w:divBdr>
        <w:top w:val="none" w:sz="0" w:space="0" w:color="auto"/>
        <w:left w:val="none" w:sz="0" w:space="0" w:color="auto"/>
        <w:bottom w:val="none" w:sz="0" w:space="0" w:color="auto"/>
        <w:right w:val="none" w:sz="0" w:space="0" w:color="auto"/>
      </w:divBdr>
    </w:div>
    <w:div w:id="12817193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331">
          <w:marLeft w:val="0"/>
          <w:marRight w:val="0"/>
          <w:marTop w:val="0"/>
          <w:marBottom w:val="0"/>
          <w:divBdr>
            <w:top w:val="none" w:sz="0" w:space="0" w:color="auto"/>
            <w:left w:val="none" w:sz="0" w:space="0" w:color="auto"/>
            <w:bottom w:val="none" w:sz="0" w:space="0" w:color="auto"/>
            <w:right w:val="none" w:sz="0" w:space="0" w:color="auto"/>
          </w:divBdr>
          <w:divsChild>
            <w:div w:id="2032880664">
              <w:marLeft w:val="0"/>
              <w:marRight w:val="0"/>
              <w:marTop w:val="0"/>
              <w:marBottom w:val="0"/>
              <w:divBdr>
                <w:top w:val="none" w:sz="0" w:space="0" w:color="auto"/>
                <w:left w:val="none" w:sz="0" w:space="0" w:color="auto"/>
                <w:bottom w:val="none" w:sz="0" w:space="0" w:color="auto"/>
                <w:right w:val="none" w:sz="0" w:space="0" w:color="auto"/>
              </w:divBdr>
              <w:divsChild>
                <w:div w:id="178088457">
                  <w:marLeft w:val="0"/>
                  <w:marRight w:val="0"/>
                  <w:marTop w:val="0"/>
                  <w:marBottom w:val="0"/>
                  <w:divBdr>
                    <w:top w:val="none" w:sz="0" w:space="0" w:color="auto"/>
                    <w:left w:val="none" w:sz="0" w:space="0" w:color="auto"/>
                    <w:bottom w:val="none" w:sz="0" w:space="0" w:color="auto"/>
                    <w:right w:val="none" w:sz="0" w:space="0" w:color="auto"/>
                  </w:divBdr>
                  <w:divsChild>
                    <w:div w:id="606960972">
                      <w:marLeft w:val="0"/>
                      <w:marRight w:val="0"/>
                      <w:marTop w:val="0"/>
                      <w:marBottom w:val="0"/>
                      <w:divBdr>
                        <w:top w:val="none" w:sz="0" w:space="0" w:color="auto"/>
                        <w:left w:val="none" w:sz="0" w:space="0" w:color="auto"/>
                        <w:bottom w:val="none" w:sz="0" w:space="0" w:color="auto"/>
                        <w:right w:val="none" w:sz="0" w:space="0" w:color="auto"/>
                      </w:divBdr>
                      <w:divsChild>
                        <w:div w:id="1576553154">
                          <w:marLeft w:val="0"/>
                          <w:marRight w:val="0"/>
                          <w:marTop w:val="0"/>
                          <w:marBottom w:val="0"/>
                          <w:divBdr>
                            <w:top w:val="none" w:sz="0" w:space="0" w:color="auto"/>
                            <w:left w:val="none" w:sz="0" w:space="0" w:color="auto"/>
                            <w:bottom w:val="none" w:sz="0" w:space="0" w:color="auto"/>
                            <w:right w:val="none" w:sz="0" w:space="0" w:color="auto"/>
                          </w:divBdr>
                          <w:divsChild>
                            <w:div w:id="1304117915">
                              <w:marLeft w:val="0"/>
                              <w:marRight w:val="0"/>
                              <w:marTop w:val="0"/>
                              <w:marBottom w:val="0"/>
                              <w:divBdr>
                                <w:top w:val="none" w:sz="0" w:space="0" w:color="auto"/>
                                <w:left w:val="none" w:sz="0" w:space="0" w:color="auto"/>
                                <w:bottom w:val="none" w:sz="0" w:space="0" w:color="auto"/>
                                <w:right w:val="none" w:sz="0" w:space="0" w:color="auto"/>
                              </w:divBdr>
                              <w:divsChild>
                                <w:div w:id="309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423611">
      <w:bodyDiv w:val="1"/>
      <w:marLeft w:val="0"/>
      <w:marRight w:val="0"/>
      <w:marTop w:val="0"/>
      <w:marBottom w:val="0"/>
      <w:divBdr>
        <w:top w:val="none" w:sz="0" w:space="0" w:color="auto"/>
        <w:left w:val="none" w:sz="0" w:space="0" w:color="auto"/>
        <w:bottom w:val="none" w:sz="0" w:space="0" w:color="auto"/>
        <w:right w:val="none" w:sz="0" w:space="0" w:color="auto"/>
      </w:divBdr>
      <w:divsChild>
        <w:div w:id="395981390">
          <w:marLeft w:val="0"/>
          <w:marRight w:val="0"/>
          <w:marTop w:val="0"/>
          <w:marBottom w:val="0"/>
          <w:divBdr>
            <w:top w:val="none" w:sz="0" w:space="0" w:color="auto"/>
            <w:left w:val="none" w:sz="0" w:space="0" w:color="auto"/>
            <w:bottom w:val="none" w:sz="0" w:space="0" w:color="auto"/>
            <w:right w:val="none" w:sz="0" w:space="0" w:color="auto"/>
          </w:divBdr>
          <w:divsChild>
            <w:div w:id="1714187619">
              <w:marLeft w:val="0"/>
              <w:marRight w:val="0"/>
              <w:marTop w:val="0"/>
              <w:marBottom w:val="0"/>
              <w:divBdr>
                <w:top w:val="none" w:sz="0" w:space="0" w:color="auto"/>
                <w:left w:val="none" w:sz="0" w:space="0" w:color="auto"/>
                <w:bottom w:val="none" w:sz="0" w:space="0" w:color="auto"/>
                <w:right w:val="none" w:sz="0" w:space="0" w:color="auto"/>
              </w:divBdr>
              <w:divsChild>
                <w:div w:id="950818791">
                  <w:marLeft w:val="0"/>
                  <w:marRight w:val="0"/>
                  <w:marTop w:val="0"/>
                  <w:marBottom w:val="0"/>
                  <w:divBdr>
                    <w:top w:val="none" w:sz="0" w:space="0" w:color="auto"/>
                    <w:left w:val="none" w:sz="0" w:space="0" w:color="auto"/>
                    <w:bottom w:val="none" w:sz="0" w:space="0" w:color="auto"/>
                    <w:right w:val="none" w:sz="0" w:space="0" w:color="auto"/>
                  </w:divBdr>
                  <w:divsChild>
                    <w:div w:id="974409441">
                      <w:marLeft w:val="0"/>
                      <w:marRight w:val="0"/>
                      <w:marTop w:val="0"/>
                      <w:marBottom w:val="0"/>
                      <w:divBdr>
                        <w:top w:val="none" w:sz="0" w:space="0" w:color="auto"/>
                        <w:left w:val="none" w:sz="0" w:space="0" w:color="auto"/>
                        <w:bottom w:val="none" w:sz="0" w:space="0" w:color="auto"/>
                        <w:right w:val="none" w:sz="0" w:space="0" w:color="auto"/>
                      </w:divBdr>
                      <w:divsChild>
                        <w:div w:id="290788251">
                          <w:marLeft w:val="0"/>
                          <w:marRight w:val="0"/>
                          <w:marTop w:val="0"/>
                          <w:marBottom w:val="0"/>
                          <w:divBdr>
                            <w:top w:val="none" w:sz="0" w:space="0" w:color="auto"/>
                            <w:left w:val="none" w:sz="0" w:space="0" w:color="auto"/>
                            <w:bottom w:val="none" w:sz="0" w:space="0" w:color="auto"/>
                            <w:right w:val="none" w:sz="0" w:space="0" w:color="auto"/>
                          </w:divBdr>
                          <w:divsChild>
                            <w:div w:id="344748247">
                              <w:marLeft w:val="0"/>
                              <w:marRight w:val="0"/>
                              <w:marTop w:val="0"/>
                              <w:marBottom w:val="0"/>
                              <w:divBdr>
                                <w:top w:val="none" w:sz="0" w:space="0" w:color="auto"/>
                                <w:left w:val="none" w:sz="0" w:space="0" w:color="auto"/>
                                <w:bottom w:val="none" w:sz="0" w:space="0" w:color="auto"/>
                                <w:right w:val="none" w:sz="0" w:space="0" w:color="auto"/>
                              </w:divBdr>
                              <w:divsChild>
                                <w:div w:id="2030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269098">
      <w:bodyDiv w:val="1"/>
      <w:marLeft w:val="0"/>
      <w:marRight w:val="0"/>
      <w:marTop w:val="0"/>
      <w:marBottom w:val="0"/>
      <w:divBdr>
        <w:top w:val="none" w:sz="0" w:space="0" w:color="auto"/>
        <w:left w:val="none" w:sz="0" w:space="0" w:color="auto"/>
        <w:bottom w:val="none" w:sz="0" w:space="0" w:color="auto"/>
        <w:right w:val="none" w:sz="0" w:space="0" w:color="auto"/>
      </w:divBdr>
    </w:div>
    <w:div w:id="1966546466">
      <w:bodyDiv w:val="1"/>
      <w:marLeft w:val="0"/>
      <w:marRight w:val="0"/>
      <w:marTop w:val="0"/>
      <w:marBottom w:val="0"/>
      <w:divBdr>
        <w:top w:val="none" w:sz="0" w:space="0" w:color="auto"/>
        <w:left w:val="none" w:sz="0" w:space="0" w:color="auto"/>
        <w:bottom w:val="none" w:sz="0" w:space="0" w:color="auto"/>
        <w:right w:val="none" w:sz="0" w:space="0" w:color="auto"/>
      </w:divBdr>
    </w:div>
    <w:div w:id="2126658609">
      <w:bodyDiv w:val="1"/>
      <w:marLeft w:val="0"/>
      <w:marRight w:val="0"/>
      <w:marTop w:val="0"/>
      <w:marBottom w:val="0"/>
      <w:divBdr>
        <w:top w:val="none" w:sz="0" w:space="0" w:color="auto"/>
        <w:left w:val="none" w:sz="0" w:space="0" w:color="auto"/>
        <w:bottom w:val="none" w:sz="0" w:space="0" w:color="auto"/>
        <w:right w:val="none" w:sz="0" w:space="0" w:color="auto"/>
      </w:divBdr>
      <w:divsChild>
        <w:div w:id="32313562">
          <w:marLeft w:val="0"/>
          <w:marRight w:val="0"/>
          <w:marTop w:val="0"/>
          <w:marBottom w:val="0"/>
          <w:divBdr>
            <w:top w:val="none" w:sz="0" w:space="0" w:color="auto"/>
            <w:left w:val="none" w:sz="0" w:space="0" w:color="auto"/>
            <w:bottom w:val="none" w:sz="0" w:space="0" w:color="auto"/>
            <w:right w:val="none" w:sz="0" w:space="0" w:color="auto"/>
          </w:divBdr>
          <w:divsChild>
            <w:div w:id="1189754370">
              <w:marLeft w:val="0"/>
              <w:marRight w:val="0"/>
              <w:marTop w:val="0"/>
              <w:marBottom w:val="0"/>
              <w:divBdr>
                <w:top w:val="none" w:sz="0" w:space="0" w:color="auto"/>
                <w:left w:val="none" w:sz="0" w:space="0" w:color="auto"/>
                <w:bottom w:val="none" w:sz="0" w:space="0" w:color="auto"/>
                <w:right w:val="none" w:sz="0" w:space="0" w:color="auto"/>
              </w:divBdr>
              <w:divsChild>
                <w:div w:id="1180894927">
                  <w:marLeft w:val="0"/>
                  <w:marRight w:val="0"/>
                  <w:marTop w:val="0"/>
                  <w:marBottom w:val="0"/>
                  <w:divBdr>
                    <w:top w:val="none" w:sz="0" w:space="12" w:color="auto"/>
                    <w:left w:val="none" w:sz="0" w:space="12" w:color="auto"/>
                    <w:bottom w:val="none" w:sz="0" w:space="12" w:color="auto"/>
                    <w:right w:val="none" w:sz="0" w:space="12" w:color="auto"/>
                  </w:divBdr>
                  <w:divsChild>
                    <w:div w:id="959186276">
                      <w:marLeft w:val="0"/>
                      <w:marRight w:val="0"/>
                      <w:marTop w:val="0"/>
                      <w:marBottom w:val="0"/>
                      <w:divBdr>
                        <w:top w:val="none" w:sz="0" w:space="12" w:color="auto"/>
                        <w:left w:val="none" w:sz="0" w:space="12" w:color="auto"/>
                        <w:bottom w:val="none" w:sz="0" w:space="12" w:color="auto"/>
                        <w:right w:val="none" w:sz="0" w:space="12" w:color="auto"/>
                      </w:divBdr>
                      <w:divsChild>
                        <w:div w:id="2033023296">
                          <w:marLeft w:val="0"/>
                          <w:marRight w:val="0"/>
                          <w:marTop w:val="0"/>
                          <w:marBottom w:val="0"/>
                          <w:divBdr>
                            <w:top w:val="none" w:sz="0" w:space="0" w:color="auto"/>
                            <w:left w:val="none" w:sz="0" w:space="0" w:color="auto"/>
                            <w:bottom w:val="none" w:sz="0" w:space="0" w:color="auto"/>
                            <w:right w:val="none" w:sz="0" w:space="0" w:color="auto"/>
                          </w:divBdr>
                          <w:divsChild>
                            <w:div w:id="1735010346">
                              <w:marLeft w:val="-225"/>
                              <w:marRight w:val="-225"/>
                              <w:marTop w:val="0"/>
                              <w:marBottom w:val="0"/>
                              <w:divBdr>
                                <w:top w:val="none" w:sz="0" w:space="0" w:color="auto"/>
                                <w:left w:val="none" w:sz="0" w:space="0" w:color="auto"/>
                                <w:bottom w:val="none" w:sz="0" w:space="0" w:color="auto"/>
                                <w:right w:val="none" w:sz="0" w:space="0" w:color="auto"/>
                              </w:divBdr>
                              <w:divsChild>
                                <w:div w:id="182405104">
                                  <w:marLeft w:val="0"/>
                                  <w:marRight w:val="0"/>
                                  <w:marTop w:val="0"/>
                                  <w:marBottom w:val="0"/>
                                  <w:divBdr>
                                    <w:top w:val="none" w:sz="0" w:space="0" w:color="auto"/>
                                    <w:left w:val="none" w:sz="0" w:space="0" w:color="auto"/>
                                    <w:bottom w:val="none" w:sz="0" w:space="0" w:color="auto"/>
                                    <w:right w:val="none" w:sz="0" w:space="0" w:color="auto"/>
                                  </w:divBdr>
                                  <w:divsChild>
                                    <w:div w:id="1836257868">
                                      <w:marLeft w:val="0"/>
                                      <w:marRight w:val="0"/>
                                      <w:marTop w:val="0"/>
                                      <w:marBottom w:val="0"/>
                                      <w:divBdr>
                                        <w:top w:val="none" w:sz="0" w:space="0" w:color="auto"/>
                                        <w:left w:val="none" w:sz="0" w:space="0" w:color="auto"/>
                                        <w:bottom w:val="none" w:sz="0" w:space="0" w:color="auto"/>
                                        <w:right w:val="none" w:sz="0" w:space="0" w:color="auto"/>
                                      </w:divBdr>
                                      <w:divsChild>
                                        <w:div w:id="788091041">
                                          <w:marLeft w:val="-225"/>
                                          <w:marRight w:val="-225"/>
                                          <w:marTop w:val="0"/>
                                          <w:marBottom w:val="0"/>
                                          <w:divBdr>
                                            <w:top w:val="none" w:sz="0" w:space="0" w:color="auto"/>
                                            <w:left w:val="none" w:sz="0" w:space="0" w:color="auto"/>
                                            <w:bottom w:val="none" w:sz="0" w:space="0" w:color="auto"/>
                                            <w:right w:val="none" w:sz="0" w:space="0" w:color="auto"/>
                                          </w:divBdr>
                                          <w:divsChild>
                                            <w:div w:id="897203052">
                                              <w:marLeft w:val="0"/>
                                              <w:marRight w:val="0"/>
                                              <w:marTop w:val="0"/>
                                              <w:marBottom w:val="0"/>
                                              <w:divBdr>
                                                <w:top w:val="none" w:sz="0" w:space="0" w:color="auto"/>
                                                <w:left w:val="none" w:sz="0" w:space="0" w:color="auto"/>
                                                <w:bottom w:val="none" w:sz="0" w:space="0" w:color="auto"/>
                                                <w:right w:val="none" w:sz="0" w:space="0" w:color="auto"/>
                                              </w:divBdr>
                                            </w:div>
                                          </w:divsChild>
                                        </w:div>
                                        <w:div w:id="1565870029">
                                          <w:marLeft w:val="-225"/>
                                          <w:marRight w:val="-225"/>
                                          <w:marTop w:val="0"/>
                                          <w:marBottom w:val="0"/>
                                          <w:divBdr>
                                            <w:top w:val="none" w:sz="0" w:space="0" w:color="auto"/>
                                            <w:left w:val="none" w:sz="0" w:space="0" w:color="auto"/>
                                            <w:bottom w:val="none" w:sz="0" w:space="0" w:color="auto"/>
                                            <w:right w:val="none" w:sz="0" w:space="0" w:color="auto"/>
                                          </w:divBdr>
                                          <w:divsChild>
                                            <w:div w:id="1264414173">
                                              <w:marLeft w:val="0"/>
                                              <w:marRight w:val="0"/>
                                              <w:marTop w:val="0"/>
                                              <w:marBottom w:val="0"/>
                                              <w:divBdr>
                                                <w:top w:val="none" w:sz="0" w:space="0" w:color="auto"/>
                                                <w:left w:val="none" w:sz="0" w:space="0" w:color="auto"/>
                                                <w:bottom w:val="none" w:sz="0" w:space="0" w:color="auto"/>
                                                <w:right w:val="none" w:sz="0" w:space="0" w:color="auto"/>
                                              </w:divBdr>
                                            </w:div>
                                          </w:divsChild>
                                        </w:div>
                                        <w:div w:id="74206983">
                                          <w:marLeft w:val="0"/>
                                          <w:marRight w:val="0"/>
                                          <w:marTop w:val="0"/>
                                          <w:marBottom w:val="0"/>
                                          <w:divBdr>
                                            <w:top w:val="none" w:sz="0" w:space="0" w:color="auto"/>
                                            <w:left w:val="none" w:sz="0" w:space="0" w:color="auto"/>
                                            <w:bottom w:val="none" w:sz="0" w:space="0" w:color="auto"/>
                                            <w:right w:val="none" w:sz="0" w:space="0" w:color="auto"/>
                                          </w:divBdr>
                                          <w:divsChild>
                                            <w:div w:id="230386878">
                                              <w:marLeft w:val="0"/>
                                              <w:marRight w:val="0"/>
                                              <w:marTop w:val="0"/>
                                              <w:marBottom w:val="0"/>
                                              <w:divBdr>
                                                <w:top w:val="none" w:sz="0" w:space="0" w:color="auto"/>
                                                <w:left w:val="none" w:sz="0" w:space="0" w:color="auto"/>
                                                <w:bottom w:val="none" w:sz="0" w:space="0" w:color="auto"/>
                                                <w:right w:val="none" w:sz="0" w:space="0" w:color="auto"/>
                                              </w:divBdr>
                                            </w:div>
                                            <w:div w:id="1309818712">
                                              <w:marLeft w:val="0"/>
                                              <w:marRight w:val="0"/>
                                              <w:marTop w:val="0"/>
                                              <w:marBottom w:val="0"/>
                                              <w:divBdr>
                                                <w:top w:val="none" w:sz="0" w:space="0" w:color="auto"/>
                                                <w:left w:val="none" w:sz="0" w:space="0" w:color="auto"/>
                                                <w:bottom w:val="none" w:sz="0" w:space="0" w:color="auto"/>
                                                <w:right w:val="none" w:sz="0" w:space="0" w:color="auto"/>
                                              </w:divBdr>
                                            </w:div>
                                            <w:div w:id="562762251">
                                              <w:marLeft w:val="0"/>
                                              <w:marRight w:val="0"/>
                                              <w:marTop w:val="0"/>
                                              <w:marBottom w:val="0"/>
                                              <w:divBdr>
                                                <w:top w:val="none" w:sz="0" w:space="0" w:color="auto"/>
                                                <w:left w:val="none" w:sz="0" w:space="0" w:color="auto"/>
                                                <w:bottom w:val="none" w:sz="0" w:space="0" w:color="auto"/>
                                                <w:right w:val="none" w:sz="0" w:space="0" w:color="auto"/>
                                              </w:divBdr>
                                            </w:div>
                                            <w:div w:id="860046223">
                                              <w:marLeft w:val="0"/>
                                              <w:marRight w:val="0"/>
                                              <w:marTop w:val="0"/>
                                              <w:marBottom w:val="0"/>
                                              <w:divBdr>
                                                <w:top w:val="none" w:sz="0" w:space="0" w:color="auto"/>
                                                <w:left w:val="none" w:sz="0" w:space="0" w:color="auto"/>
                                                <w:bottom w:val="none" w:sz="0" w:space="0" w:color="auto"/>
                                                <w:right w:val="none" w:sz="0" w:space="0" w:color="auto"/>
                                              </w:divBdr>
                                            </w:div>
                                            <w:div w:id="1308779988">
                                              <w:marLeft w:val="0"/>
                                              <w:marRight w:val="0"/>
                                              <w:marTop w:val="0"/>
                                              <w:marBottom w:val="0"/>
                                              <w:divBdr>
                                                <w:top w:val="none" w:sz="0" w:space="0" w:color="auto"/>
                                                <w:left w:val="none" w:sz="0" w:space="0" w:color="auto"/>
                                                <w:bottom w:val="none" w:sz="0" w:space="0" w:color="auto"/>
                                                <w:right w:val="none" w:sz="0" w:space="0" w:color="auto"/>
                                              </w:divBdr>
                                            </w:div>
                                            <w:div w:id="2029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cc.gov/publications/publications-by-type/other-publications-reports/baas.pdf" TargetMode="External"/><Relationship Id="rId18" Type="http://schemas.openxmlformats.org/officeDocument/2006/relationships/hyperlink" Target="https://complianceservicesgroup.com/ask-the-cfpb/" TargetMode="External"/><Relationship Id="rId26" Type="http://schemas.openxmlformats.org/officeDocument/2006/relationships/hyperlink" Target="https://olis.leg.state.or.us/liz/2017R1/Measures/Overview/HB2359?pubDate=2017-02-27-08-36" TargetMode="External"/><Relationship Id="rId39" Type="http://schemas.openxmlformats.org/officeDocument/2006/relationships/hyperlink" Target="https://nwcompliance.org/w-2-1099-misc-filing-dates-change/" TargetMode="External"/><Relationship Id="rId21" Type="http://schemas.openxmlformats.org/officeDocument/2006/relationships/hyperlink" Target="https://www.occ.gov/publications/publications-by-type/other-publications-reports/semiannual-risk-perspective/semiannual-risk-perspective-spring-2017.pdf" TargetMode="External"/><Relationship Id="rId34" Type="http://schemas.openxmlformats.org/officeDocument/2006/relationships/hyperlink" Target="http://app.leg.wa.gov/billsummary?BillNumber=1318&amp;Year=2017" TargetMode="External"/><Relationship Id="rId42" Type="http://schemas.openxmlformats.org/officeDocument/2006/relationships/hyperlink" Target="javascript:sort('SUBAGENCY_CD');" TargetMode="External"/><Relationship Id="rId47" Type="http://schemas.openxmlformats.org/officeDocument/2006/relationships/hyperlink" Target="https://www.reginfo.gov/public/do/eAgendaViewRule?pubId=201704&amp;RIN=3170-AA42" TargetMode="External"/><Relationship Id="rId50" Type="http://schemas.openxmlformats.org/officeDocument/2006/relationships/hyperlink" Target="https://www.reginfo.gov/public/do/eAgendaViewRule?pubId=201704&amp;RIN=3170-AA07" TargetMode="External"/><Relationship Id="rId55" Type="http://schemas.openxmlformats.org/officeDocument/2006/relationships/hyperlink" Target="https://www.reginfo.gov/public/do/eAgendaViewRule?pubId=201704&amp;RIN=3170-AA65" TargetMode="External"/><Relationship Id="rId63" Type="http://schemas.openxmlformats.org/officeDocument/2006/relationships/hyperlink" Target="https://www.reginfo.gov/public/do/eAgendaViewRule?pubId=201704&amp;RIN=3170-AA63" TargetMode="External"/><Relationship Id="rId68" Type="http://schemas.openxmlformats.org/officeDocument/2006/relationships/theme" Target="theme/theme1.xml"/><Relationship Id="rId7" Type="http://schemas.openxmlformats.org/officeDocument/2006/relationships/hyperlink" Target="http://files.consumerfinance.gov/f/documents/201708_cfpb_final-rule_home-mortgage-disclosure_regulation-c.pdf" TargetMode="External"/><Relationship Id="rId2" Type="http://schemas.openxmlformats.org/officeDocument/2006/relationships/styles" Target="styles.xml"/><Relationship Id="rId16" Type="http://schemas.openxmlformats.org/officeDocument/2006/relationships/hyperlink" Target="https://www.fdic.gov/regulations/examinations/supervisory/insights/index.html" TargetMode="External"/><Relationship Id="rId29" Type="http://schemas.openxmlformats.org/officeDocument/2006/relationships/hyperlink" Target="https://olis.leg.state.or.us/liz/2017R1/Measures/Overview/HB2229?pubDate=2017-02-27-16-5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dic.gov/news/news/financial/2017/fil17033a.pdf" TargetMode="External"/><Relationship Id="rId24" Type="http://schemas.openxmlformats.org/officeDocument/2006/relationships/hyperlink" Target="https://nwcompliance.org/oregon-proposed-hb-2581-access-device-security-breaches/" TargetMode="External"/><Relationship Id="rId32" Type="http://schemas.openxmlformats.org/officeDocument/2006/relationships/hyperlink" Target="https://olis.leg.state.or.us/liz/2017R1/Measures/Overview/SB254?pubDate=2017-03-02-11-25" TargetMode="External"/><Relationship Id="rId37" Type="http://schemas.openxmlformats.org/officeDocument/2006/relationships/hyperlink" Target="https://nwcompliance.org/e-notaries-coming-washington/" TargetMode="External"/><Relationship Id="rId40" Type="http://schemas.openxmlformats.org/officeDocument/2006/relationships/hyperlink" Target="https://complianceservicesgroup.com/operation-chokepoint-officially-choked/" TargetMode="External"/><Relationship Id="rId45" Type="http://schemas.openxmlformats.org/officeDocument/2006/relationships/hyperlink" Target="javascript:sort('RIN');" TargetMode="External"/><Relationship Id="rId53" Type="http://schemas.openxmlformats.org/officeDocument/2006/relationships/hyperlink" Target="https://www.reginfo.gov/public/do/eAgendaViewRule?pubId=201704&amp;RIN=3170-AA57" TargetMode="External"/><Relationship Id="rId58" Type="http://schemas.openxmlformats.org/officeDocument/2006/relationships/hyperlink" Target="https://www.reginfo.gov/public/do/eAgendaViewRule?pubId=201704&amp;RIN=3170-AA75"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3.amazonaws.com/files.consumerfinance.gov/f/documents/201708_cfpb_2017-TILA-RESPA-Rule-Detailed-Summary-of-Changes-and-Clarifications.pdf" TargetMode="External"/><Relationship Id="rId23" Type="http://schemas.openxmlformats.org/officeDocument/2006/relationships/hyperlink" Target="https://s3.amazonaws.com/files.consumerfinance.gov/f/documents/cfpb_innovation-highlights_emerging-student-loan-repayment-assistance-programs.pdf" TargetMode="External"/><Relationship Id="rId28" Type="http://schemas.openxmlformats.org/officeDocument/2006/relationships/hyperlink" Target="https://olis.leg.state.or.us/liz/2017R1/Measures/Overview/HB2622?pubDate=2017-02-27-10-55" TargetMode="External"/><Relationship Id="rId36" Type="http://schemas.openxmlformats.org/officeDocument/2006/relationships/hyperlink" Target="https://nwcompliance.org/washington-credit-union-act-update/" TargetMode="External"/><Relationship Id="rId49" Type="http://schemas.openxmlformats.org/officeDocument/2006/relationships/hyperlink" Target="https://www.reginfo.gov/public/do/eAgendaViewRule?pubId=201704&amp;RIN=3170-AA73" TargetMode="External"/><Relationship Id="rId57" Type="http://schemas.openxmlformats.org/officeDocument/2006/relationships/hyperlink" Target="https://www.reginfo.gov/public/do/eAgendaViewRule?pubId=201704&amp;RIN=3170-AA72" TargetMode="External"/><Relationship Id="rId61" Type="http://schemas.openxmlformats.org/officeDocument/2006/relationships/hyperlink" Target="https://www.reginfo.gov/public/do/eAgendaViewRule?pubId=201704&amp;RIN=3170-AA60" TargetMode="External"/><Relationship Id="rId10" Type="http://schemas.openxmlformats.org/officeDocument/2006/relationships/hyperlink" Target="https://complianceservicesgroup.com/ask-the-cfpb/" TargetMode="External"/><Relationship Id="rId19" Type="http://schemas.openxmlformats.org/officeDocument/2006/relationships/hyperlink" Target="https://complianceservicesgroup.com/occ-bulletin-2017-18/" TargetMode="External"/><Relationship Id="rId31" Type="http://schemas.openxmlformats.org/officeDocument/2006/relationships/hyperlink" Target="https://olis.leg.state.or.us/liz/2017R1/Measures/Overview/SB113?pubDate=2017-03-02-11-25" TargetMode="External"/><Relationship Id="rId44" Type="http://schemas.openxmlformats.org/officeDocument/2006/relationships/hyperlink" Target="javascript:sort('RULE_TITLE');" TargetMode="External"/><Relationship Id="rId52" Type="http://schemas.openxmlformats.org/officeDocument/2006/relationships/hyperlink" Target="https://www.reginfo.gov/public/do/eAgendaViewRule?pubId=201704&amp;RIN=3170-AA41" TargetMode="External"/><Relationship Id="rId60" Type="http://schemas.openxmlformats.org/officeDocument/2006/relationships/hyperlink" Target="https://www.reginfo.gov/public/do/eAgendaViewRule?pubId=201704&amp;RIN=3170-AA51"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ederalregister.gov/documents/2017/08/31/2017-18520/extension-of-transition-period-and-delay-of-applicability-dates-best-interest-contract-exemption-pte" TargetMode="External"/><Relationship Id="rId14" Type="http://schemas.openxmlformats.org/officeDocument/2006/relationships/hyperlink" Target="https://complianceservicesgroup.com/gto-fin-2017-a003/" TargetMode="External"/><Relationship Id="rId22" Type="http://schemas.openxmlformats.org/officeDocument/2006/relationships/hyperlink" Target="http://files.consumerfinance.gov/f/documents/201708_cfpb_data-point_student-loan-repayment.pdf" TargetMode="External"/><Relationship Id="rId27" Type="http://schemas.openxmlformats.org/officeDocument/2006/relationships/hyperlink" Target="https://olis.leg.state.or.us/liz/2017R1/Measures/Overview/HB2624?pubDate=2017-02-27-08-36" TargetMode="External"/><Relationship Id="rId30" Type="http://schemas.openxmlformats.org/officeDocument/2006/relationships/hyperlink" Target="https://olis.leg.state.or.us/liz/2017R1/Measures/Overview/HB2346?pubDate=2017-02-22-09-10" TargetMode="External"/><Relationship Id="rId35" Type="http://schemas.openxmlformats.org/officeDocument/2006/relationships/hyperlink" Target="http://app.leg.wa.gov/billsummary?BillNumber=5031&amp;Year=2017" TargetMode="External"/><Relationship Id="rId43" Type="http://schemas.openxmlformats.org/officeDocument/2006/relationships/hyperlink" Target="javascript:sort('RULE_STAGE_CD');" TargetMode="External"/><Relationship Id="rId48" Type="http://schemas.openxmlformats.org/officeDocument/2006/relationships/hyperlink" Target="https://www.reginfo.gov/public/do/eAgendaViewRule?pubId=201704&amp;RIN=3170-AA70" TargetMode="External"/><Relationship Id="rId56" Type="http://schemas.openxmlformats.org/officeDocument/2006/relationships/hyperlink" Target="https://www.reginfo.gov/public/do/eAgendaViewRule?pubId=201704&amp;RIN=3170-AA71" TargetMode="External"/><Relationship Id="rId64" Type="http://schemas.openxmlformats.org/officeDocument/2006/relationships/hyperlink" Target="https://www.reginfo.gov/public/do/eAgendaViewRule?pubId=201704&amp;RIN=3170-AA74" TargetMode="External"/><Relationship Id="rId8" Type="http://schemas.openxmlformats.org/officeDocument/2006/relationships/hyperlink" Target="https://complianceservicesgroup.com/1426-2/" TargetMode="External"/><Relationship Id="rId51" Type="http://schemas.openxmlformats.org/officeDocument/2006/relationships/hyperlink" Target="https://www.reginfo.gov/public/do/eAgendaViewRule?pubId=201704&amp;RIN=3170-AA40" TargetMode="External"/><Relationship Id="rId3" Type="http://schemas.openxmlformats.org/officeDocument/2006/relationships/settings" Target="settings.xml"/><Relationship Id="rId12" Type="http://schemas.openxmlformats.org/officeDocument/2006/relationships/hyperlink" Target="https://www.frbservices.org/fedflash/" TargetMode="External"/><Relationship Id="rId17" Type="http://schemas.openxmlformats.org/officeDocument/2006/relationships/hyperlink" Target="https://www.consumerfinance.gov/data-research/hmda/for-filers" TargetMode="External"/><Relationship Id="rId25" Type="http://schemas.openxmlformats.org/officeDocument/2006/relationships/hyperlink" Target="https://olis.leg.state.or.us/liz/2017R1/Measures/Overview/HB2161" TargetMode="External"/><Relationship Id="rId33" Type="http://schemas.openxmlformats.org/officeDocument/2006/relationships/hyperlink" Target="http://app.leg.wa.gov/billsummary?BillNumber=1209&amp;Year=2017" TargetMode="External"/><Relationship Id="rId38" Type="http://schemas.openxmlformats.org/officeDocument/2006/relationships/hyperlink" Target="http://app.leg.wa.gov/billsummary?BillNumber=5343&amp;Year=2017" TargetMode="External"/><Relationship Id="rId46" Type="http://schemas.openxmlformats.org/officeDocument/2006/relationships/hyperlink" Target="https://www.reginfo.gov/public/do/eAgendaViewRule?pubId=201704&amp;RIN=3170-AA09" TargetMode="External"/><Relationship Id="rId59" Type="http://schemas.openxmlformats.org/officeDocument/2006/relationships/hyperlink" Target="https://www.reginfo.gov/public/do/eAgendaViewRule?pubId=201704&amp;RIN=3170-AA31" TargetMode="External"/><Relationship Id="rId67" Type="http://schemas.openxmlformats.org/officeDocument/2006/relationships/fontTable" Target="fontTable.xml"/><Relationship Id="rId20" Type="http://schemas.openxmlformats.org/officeDocument/2006/relationships/hyperlink" Target="https://complianceservicesgroup.com/hmda-examiner-testing-guidelines/" TargetMode="External"/><Relationship Id="rId41" Type="http://schemas.openxmlformats.org/officeDocument/2006/relationships/hyperlink" Target="https://complianceservicesgroup.com/adequate-controls-place/" TargetMode="External"/><Relationship Id="rId54" Type="http://schemas.openxmlformats.org/officeDocument/2006/relationships/hyperlink" Target="https://www.reginfo.gov/public/do/eAgendaViewRule?pubId=201704&amp;RIN=3170-AA64" TargetMode="External"/><Relationship Id="rId62" Type="http://schemas.openxmlformats.org/officeDocument/2006/relationships/hyperlink" Target="https://www.reginfo.gov/public/do/eAgendaViewRule?pubId=201704&amp;RIN=3170-AA6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8</Pages>
  <Words>3316</Words>
  <Characters>18903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NW Compliance Group</Company>
  <LinksUpToDate>false</LinksUpToDate>
  <CharactersWithSpaces>22175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McKinney</dc:creator>
  <cp:lastModifiedBy>Jim McKinney</cp:lastModifiedBy>
  <cp:revision>11</cp:revision>
  <cp:lastPrinted>2017-08-02T15:05:00Z</cp:lastPrinted>
  <dcterms:created xsi:type="dcterms:W3CDTF">2017-08-23T22:09:00Z</dcterms:created>
  <dcterms:modified xsi:type="dcterms:W3CDTF">2017-09-04T13:09:00Z</dcterms:modified>
</cp:coreProperties>
</file>