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0B2" w:rsidRPr="00967605" w:rsidRDefault="004670B2" w:rsidP="007B2E65">
      <w:pPr>
        <w:spacing w:after="0"/>
        <w:rPr>
          <w:sz w:val="28"/>
          <w:szCs w:val="28"/>
        </w:rPr>
      </w:pPr>
      <w:r w:rsidRPr="00967605">
        <w:rPr>
          <w:b/>
          <w:sz w:val="28"/>
          <w:szCs w:val="28"/>
        </w:rPr>
        <w:t>FINAL REGULATIONS</w:t>
      </w:r>
      <w:r w:rsidR="008756E8">
        <w:rPr>
          <w:b/>
          <w:sz w:val="28"/>
          <w:szCs w:val="28"/>
        </w:rPr>
        <w:t>/RULES</w:t>
      </w:r>
    </w:p>
    <w:tbl>
      <w:tblPr>
        <w:tblStyle w:val="TableGrid"/>
        <w:tblW w:w="13176" w:type="dxa"/>
        <w:tblLook w:val="04A0" w:firstRow="1" w:lastRow="0" w:firstColumn="1" w:lastColumn="0" w:noHBand="0" w:noVBand="1"/>
      </w:tblPr>
      <w:tblGrid>
        <w:gridCol w:w="1278"/>
        <w:gridCol w:w="2250"/>
        <w:gridCol w:w="1440"/>
        <w:gridCol w:w="8208"/>
      </w:tblGrid>
      <w:tr w:rsidR="00AC6A22" w:rsidTr="00AC6A22">
        <w:tc>
          <w:tcPr>
            <w:tcW w:w="1278" w:type="dxa"/>
            <w:tcBorders>
              <w:top w:val="nil"/>
              <w:left w:val="nil"/>
              <w:right w:val="nil"/>
            </w:tcBorders>
          </w:tcPr>
          <w:p w:rsidR="00AC6A22" w:rsidRDefault="00AC6A22" w:rsidP="00413996">
            <w:pPr>
              <w:rPr>
                <w:b/>
              </w:rPr>
            </w:pPr>
            <w:r>
              <w:rPr>
                <w:b/>
              </w:rPr>
              <w:t>Effective Date</w:t>
            </w:r>
          </w:p>
        </w:tc>
        <w:tc>
          <w:tcPr>
            <w:tcW w:w="2250" w:type="dxa"/>
            <w:tcBorders>
              <w:top w:val="nil"/>
              <w:left w:val="nil"/>
              <w:right w:val="nil"/>
            </w:tcBorders>
          </w:tcPr>
          <w:p w:rsidR="00AC6A22" w:rsidRDefault="00AC6A22" w:rsidP="00413996">
            <w:pPr>
              <w:rPr>
                <w:b/>
              </w:rPr>
            </w:pPr>
            <w:r>
              <w:rPr>
                <w:b/>
              </w:rPr>
              <w:t>Regulation</w:t>
            </w:r>
          </w:p>
        </w:tc>
        <w:tc>
          <w:tcPr>
            <w:tcW w:w="1440" w:type="dxa"/>
            <w:tcBorders>
              <w:top w:val="nil"/>
              <w:left w:val="nil"/>
              <w:right w:val="nil"/>
            </w:tcBorders>
          </w:tcPr>
          <w:p w:rsidR="00AC6A22" w:rsidRDefault="00AC6A22" w:rsidP="00413996">
            <w:pPr>
              <w:rPr>
                <w:b/>
              </w:rPr>
            </w:pPr>
            <w:r>
              <w:rPr>
                <w:b/>
              </w:rPr>
              <w:t>Citation</w:t>
            </w:r>
          </w:p>
        </w:tc>
        <w:tc>
          <w:tcPr>
            <w:tcW w:w="8208" w:type="dxa"/>
            <w:tcBorders>
              <w:top w:val="nil"/>
              <w:left w:val="nil"/>
              <w:right w:val="nil"/>
            </w:tcBorders>
          </w:tcPr>
          <w:p w:rsidR="00AC6A22" w:rsidRDefault="00AC6A22" w:rsidP="00413996">
            <w:pPr>
              <w:rPr>
                <w:b/>
              </w:rPr>
            </w:pPr>
            <w:r>
              <w:rPr>
                <w:b/>
              </w:rPr>
              <w:t>Summary</w:t>
            </w:r>
          </w:p>
        </w:tc>
      </w:tr>
      <w:tr w:rsidR="00B532FB" w:rsidRPr="00967605" w:rsidTr="00AC6A22">
        <w:tc>
          <w:tcPr>
            <w:tcW w:w="1278" w:type="dxa"/>
          </w:tcPr>
          <w:p w:rsidR="00630DEC" w:rsidRPr="00891FE6" w:rsidRDefault="00E31C1A" w:rsidP="00413996">
            <w:r>
              <w:t>09/18/2017</w:t>
            </w:r>
          </w:p>
        </w:tc>
        <w:tc>
          <w:tcPr>
            <w:tcW w:w="2250" w:type="dxa"/>
          </w:tcPr>
          <w:p w:rsidR="00B532FB" w:rsidRDefault="00E31C1A" w:rsidP="000C6F62">
            <w:r>
              <w:t>Arbitration Agreements</w:t>
            </w:r>
          </w:p>
        </w:tc>
        <w:tc>
          <w:tcPr>
            <w:tcW w:w="1440" w:type="dxa"/>
          </w:tcPr>
          <w:p w:rsidR="00B532FB" w:rsidRDefault="00281928" w:rsidP="006E10DB">
            <w:pPr>
              <w:spacing w:after="120"/>
            </w:pPr>
            <w:hyperlink r:id="rId7" w:history="1">
              <w:r w:rsidR="00E31C1A" w:rsidRPr="00E31C1A">
                <w:rPr>
                  <w:rStyle w:val="Hyperlink"/>
                </w:rPr>
                <w:t>82 FR 33210</w:t>
              </w:r>
            </w:hyperlink>
          </w:p>
        </w:tc>
        <w:tc>
          <w:tcPr>
            <w:tcW w:w="8208" w:type="dxa"/>
          </w:tcPr>
          <w:p w:rsidR="00630DEC" w:rsidRDefault="00E31C1A" w:rsidP="000F5081">
            <w:r>
              <w:t>T</w:t>
            </w:r>
            <w:r w:rsidRPr="00E31C1A">
              <w:t xml:space="preserve">he final rule prohibits covered providers of certain consumer financial products and services from using an agreement with a consumer that provides for arbitration of any future dispute between the parties to bar the consumer from filing or participating in a class action concerning the covered consumer financial product or service. </w:t>
            </w:r>
            <w:r>
              <w:t>T</w:t>
            </w:r>
            <w:r w:rsidRPr="00E31C1A">
              <w:t xml:space="preserve">he final rule </w:t>
            </w:r>
            <w:r>
              <w:t xml:space="preserve">also </w:t>
            </w:r>
            <w:r w:rsidRPr="00E31C1A">
              <w:t xml:space="preserve">requires covered providers that are involved in an arbitration pursuant to a pre-dispute arbitration agreement to submit specified arbitral records to the Bureau </w:t>
            </w:r>
            <w:proofErr w:type="gramStart"/>
            <w:r w:rsidRPr="00E31C1A">
              <w:t>and also</w:t>
            </w:r>
            <w:proofErr w:type="gramEnd"/>
            <w:r w:rsidRPr="00E31C1A">
              <w:t xml:space="preserve"> to submit specified court records.</w:t>
            </w:r>
          </w:p>
        </w:tc>
      </w:tr>
      <w:tr w:rsidR="00494DA3" w:rsidRPr="00967605" w:rsidTr="00AC6A22">
        <w:tc>
          <w:tcPr>
            <w:tcW w:w="1278" w:type="dxa"/>
          </w:tcPr>
          <w:p w:rsidR="00494DA3" w:rsidRDefault="00671C4F" w:rsidP="00413996">
            <w:r>
              <w:t>04/19/2018</w:t>
            </w:r>
          </w:p>
        </w:tc>
        <w:tc>
          <w:tcPr>
            <w:tcW w:w="2250" w:type="dxa"/>
          </w:tcPr>
          <w:p w:rsidR="00494DA3" w:rsidRDefault="00422978" w:rsidP="000C6F62">
            <w:r>
              <w:t>TRID – Regulation X and Regulation Z</w:t>
            </w:r>
          </w:p>
        </w:tc>
        <w:tc>
          <w:tcPr>
            <w:tcW w:w="1440" w:type="dxa"/>
          </w:tcPr>
          <w:p w:rsidR="00494DA3" w:rsidRDefault="00281928" w:rsidP="006E10DB">
            <w:pPr>
              <w:spacing w:after="120"/>
            </w:pPr>
            <w:hyperlink r:id="rId8" w:history="1">
              <w:r w:rsidR="00422978" w:rsidRPr="00422978">
                <w:rPr>
                  <w:rStyle w:val="Hyperlink"/>
                </w:rPr>
                <w:t>82 FR 30947</w:t>
              </w:r>
            </w:hyperlink>
          </w:p>
        </w:tc>
        <w:tc>
          <w:tcPr>
            <w:tcW w:w="8208" w:type="dxa"/>
          </w:tcPr>
          <w:p w:rsidR="00494DA3" w:rsidRDefault="00C15289" w:rsidP="000F5081">
            <w:r>
              <w:t xml:space="preserve">Correcting two typos, </w:t>
            </w:r>
            <w:proofErr w:type="gramStart"/>
            <w:r>
              <w:t xml:space="preserve">and </w:t>
            </w:r>
            <w:r w:rsidRPr="00C15289">
              <w:t xml:space="preserve"> corrections</w:t>
            </w:r>
            <w:proofErr w:type="gramEnd"/>
            <w:r w:rsidRPr="00C15289">
              <w:t xml:space="preserve"> relating to the effective date of official commentary relating to servicers' ability to remove certain language in periodic statement sample forms as an option when, for example, communicating with confirmed successors in interest; sample periodic statement forms that servicers may use for certain consumers in bankruptcy; and official commentary relating to the bankruptcy periodic statement exemptions and modified statements.</w:t>
            </w:r>
          </w:p>
        </w:tc>
      </w:tr>
      <w:tr w:rsidR="00423E3C" w:rsidRPr="00967605" w:rsidTr="00AC6A22">
        <w:tc>
          <w:tcPr>
            <w:tcW w:w="1278" w:type="dxa"/>
          </w:tcPr>
          <w:p w:rsidR="00423E3C" w:rsidRDefault="00423E3C" w:rsidP="00413996"/>
        </w:tc>
        <w:tc>
          <w:tcPr>
            <w:tcW w:w="2250" w:type="dxa"/>
          </w:tcPr>
          <w:p w:rsidR="00423E3C" w:rsidRDefault="00423E3C" w:rsidP="000C6F62"/>
        </w:tc>
        <w:tc>
          <w:tcPr>
            <w:tcW w:w="1440" w:type="dxa"/>
          </w:tcPr>
          <w:p w:rsidR="00423E3C" w:rsidRDefault="00423E3C" w:rsidP="006E10DB">
            <w:pPr>
              <w:spacing w:after="120"/>
            </w:pPr>
          </w:p>
        </w:tc>
        <w:tc>
          <w:tcPr>
            <w:tcW w:w="8208" w:type="dxa"/>
          </w:tcPr>
          <w:p w:rsidR="00423E3C" w:rsidRPr="00494DA3" w:rsidRDefault="00423E3C" w:rsidP="005908B4"/>
        </w:tc>
      </w:tr>
    </w:tbl>
    <w:p w:rsidR="00CE26B8" w:rsidRDefault="00CE26B8" w:rsidP="000F5081">
      <w:pPr>
        <w:spacing w:after="0" w:line="240" w:lineRule="auto"/>
      </w:pPr>
    </w:p>
    <w:tbl>
      <w:tblPr>
        <w:tblStyle w:val="TableGrid"/>
        <w:tblW w:w="13176" w:type="dxa"/>
        <w:tblLook w:val="04A0" w:firstRow="1" w:lastRow="0" w:firstColumn="1" w:lastColumn="0" w:noHBand="0" w:noVBand="1"/>
      </w:tblPr>
      <w:tblGrid>
        <w:gridCol w:w="3528"/>
        <w:gridCol w:w="9648"/>
      </w:tblGrid>
      <w:tr w:rsidR="00FF3D8B" w:rsidTr="00FF3D8B">
        <w:tc>
          <w:tcPr>
            <w:tcW w:w="3528" w:type="dxa"/>
            <w:tcBorders>
              <w:top w:val="nil"/>
              <w:left w:val="nil"/>
              <w:right w:val="nil"/>
            </w:tcBorders>
          </w:tcPr>
          <w:p w:rsidR="00FF3D8B" w:rsidRDefault="00FF3D8B" w:rsidP="00D07FA6">
            <w:pPr>
              <w:rPr>
                <w:b/>
              </w:rPr>
            </w:pPr>
            <w:r>
              <w:rPr>
                <w:b/>
              </w:rPr>
              <w:t>Reminders</w:t>
            </w:r>
          </w:p>
        </w:tc>
        <w:tc>
          <w:tcPr>
            <w:tcW w:w="9648" w:type="dxa"/>
            <w:tcBorders>
              <w:top w:val="nil"/>
              <w:left w:val="nil"/>
              <w:right w:val="nil"/>
            </w:tcBorders>
          </w:tcPr>
          <w:p w:rsidR="00FF3D8B" w:rsidRDefault="00FF3D8B" w:rsidP="00D07FA6">
            <w:pPr>
              <w:rPr>
                <w:b/>
              </w:rPr>
            </w:pPr>
            <w:r>
              <w:rPr>
                <w:b/>
              </w:rPr>
              <w:t>Summary</w:t>
            </w:r>
          </w:p>
        </w:tc>
      </w:tr>
      <w:tr w:rsidR="00FF3D8B" w:rsidRPr="00967605" w:rsidTr="00FF3D8B">
        <w:tc>
          <w:tcPr>
            <w:tcW w:w="3528" w:type="dxa"/>
          </w:tcPr>
          <w:p w:rsidR="00FF3D8B" w:rsidRPr="000E1F7A" w:rsidRDefault="00FF3D8B" w:rsidP="00D07FA6"/>
        </w:tc>
        <w:tc>
          <w:tcPr>
            <w:tcW w:w="9648" w:type="dxa"/>
          </w:tcPr>
          <w:p w:rsidR="00FF3D8B" w:rsidRDefault="00FF3D8B" w:rsidP="00D07FA6">
            <w:pPr>
              <w:pStyle w:val="NormalWeb"/>
              <w:spacing w:before="0" w:beforeAutospacing="0" w:after="0" w:afterAutospacing="0"/>
              <w:rPr>
                <w:rFonts w:asciiTheme="minorHAnsi" w:eastAsiaTheme="minorEastAsia" w:hAnsiTheme="minorHAnsi" w:cstheme="minorBidi"/>
                <w:sz w:val="22"/>
                <w:szCs w:val="22"/>
              </w:rPr>
            </w:pPr>
          </w:p>
        </w:tc>
      </w:tr>
    </w:tbl>
    <w:p w:rsidR="003B2BCF" w:rsidRDefault="00DC082C" w:rsidP="007B2E65">
      <w:pPr>
        <w:spacing w:before="240" w:after="0"/>
        <w:rPr>
          <w:b/>
          <w:sz w:val="28"/>
          <w:szCs w:val="28"/>
        </w:rPr>
      </w:pPr>
      <w:r>
        <w:rPr>
          <w:b/>
          <w:sz w:val="28"/>
          <w:szCs w:val="28"/>
        </w:rPr>
        <w:t>PROPOSED REGULATIONS</w:t>
      </w:r>
    </w:p>
    <w:tbl>
      <w:tblPr>
        <w:tblStyle w:val="TableGrid"/>
        <w:tblW w:w="13176" w:type="dxa"/>
        <w:tblLook w:val="04A0" w:firstRow="1" w:lastRow="0" w:firstColumn="1" w:lastColumn="0" w:noHBand="0" w:noVBand="1"/>
      </w:tblPr>
      <w:tblGrid>
        <w:gridCol w:w="1278"/>
        <w:gridCol w:w="2282"/>
        <w:gridCol w:w="1411"/>
        <w:gridCol w:w="8205"/>
      </w:tblGrid>
      <w:tr w:rsidR="00DC082C" w:rsidTr="00413996">
        <w:tc>
          <w:tcPr>
            <w:tcW w:w="1278" w:type="dxa"/>
            <w:tcBorders>
              <w:top w:val="nil"/>
              <w:left w:val="nil"/>
              <w:right w:val="nil"/>
            </w:tcBorders>
          </w:tcPr>
          <w:p w:rsidR="00DC082C" w:rsidRDefault="00DC082C" w:rsidP="00413996">
            <w:pPr>
              <w:rPr>
                <w:b/>
              </w:rPr>
            </w:pPr>
            <w:r>
              <w:rPr>
                <w:b/>
              </w:rPr>
              <w:t>Comments Due</w:t>
            </w:r>
          </w:p>
        </w:tc>
        <w:tc>
          <w:tcPr>
            <w:tcW w:w="2282" w:type="dxa"/>
            <w:tcBorders>
              <w:top w:val="nil"/>
              <w:left w:val="nil"/>
              <w:right w:val="nil"/>
            </w:tcBorders>
          </w:tcPr>
          <w:p w:rsidR="00DC082C" w:rsidRDefault="00DC082C" w:rsidP="00413996">
            <w:pPr>
              <w:rPr>
                <w:b/>
              </w:rPr>
            </w:pPr>
            <w:r>
              <w:rPr>
                <w:b/>
              </w:rPr>
              <w:t>Regulation</w:t>
            </w:r>
          </w:p>
        </w:tc>
        <w:tc>
          <w:tcPr>
            <w:tcW w:w="1411" w:type="dxa"/>
            <w:tcBorders>
              <w:top w:val="nil"/>
              <w:left w:val="nil"/>
              <w:right w:val="nil"/>
            </w:tcBorders>
          </w:tcPr>
          <w:p w:rsidR="00DC082C" w:rsidRDefault="00DC082C" w:rsidP="00413996">
            <w:pPr>
              <w:rPr>
                <w:b/>
              </w:rPr>
            </w:pPr>
            <w:r>
              <w:rPr>
                <w:b/>
              </w:rPr>
              <w:t>Citation</w:t>
            </w:r>
          </w:p>
        </w:tc>
        <w:tc>
          <w:tcPr>
            <w:tcW w:w="8205" w:type="dxa"/>
            <w:tcBorders>
              <w:top w:val="nil"/>
              <w:left w:val="nil"/>
              <w:right w:val="nil"/>
            </w:tcBorders>
          </w:tcPr>
          <w:p w:rsidR="00DC082C" w:rsidRDefault="00DC082C" w:rsidP="00413996">
            <w:pPr>
              <w:rPr>
                <w:b/>
              </w:rPr>
            </w:pPr>
            <w:r>
              <w:rPr>
                <w:b/>
              </w:rPr>
              <w:t>Summary</w:t>
            </w:r>
          </w:p>
        </w:tc>
      </w:tr>
      <w:tr w:rsidR="00152E97" w:rsidRPr="00967605" w:rsidTr="00413996">
        <w:tc>
          <w:tcPr>
            <w:tcW w:w="1278" w:type="dxa"/>
          </w:tcPr>
          <w:p w:rsidR="00152E97" w:rsidRPr="000E1F7A" w:rsidRDefault="00F26504" w:rsidP="00413996">
            <w:r>
              <w:t>09/29/</w:t>
            </w:r>
            <w:r w:rsidR="00FE2F01">
              <w:t>20</w:t>
            </w:r>
            <w:r>
              <w:t>17</w:t>
            </w:r>
          </w:p>
        </w:tc>
        <w:tc>
          <w:tcPr>
            <w:tcW w:w="2282" w:type="dxa"/>
          </w:tcPr>
          <w:p w:rsidR="00152E97" w:rsidRDefault="00F26504" w:rsidP="00413996">
            <w:r>
              <w:t>Emergency Mergers – Chartering and Field of Membership</w:t>
            </w:r>
          </w:p>
        </w:tc>
        <w:tc>
          <w:tcPr>
            <w:tcW w:w="1411" w:type="dxa"/>
          </w:tcPr>
          <w:p w:rsidR="00152E97" w:rsidRPr="000E1F7A" w:rsidRDefault="00281928" w:rsidP="00413996">
            <w:hyperlink r:id="rId9" w:history="1">
              <w:r w:rsidR="00F26504" w:rsidRPr="00EE477C">
                <w:rPr>
                  <w:rStyle w:val="Hyperlink"/>
                </w:rPr>
                <w:t>82 FR 35493</w:t>
              </w:r>
            </w:hyperlink>
          </w:p>
        </w:tc>
        <w:tc>
          <w:tcPr>
            <w:tcW w:w="8205" w:type="dxa"/>
          </w:tcPr>
          <w:p w:rsidR="00152E97" w:rsidRDefault="00F26504" w:rsidP="00EE477C">
            <w:pPr>
              <w:pStyle w:val="NormalWeb"/>
              <w:spacing w:after="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NCUA </w:t>
            </w:r>
            <w:r w:rsidRPr="00F26504">
              <w:rPr>
                <w:rFonts w:asciiTheme="minorHAnsi" w:eastAsiaTheme="minorEastAsia" w:hAnsiTheme="minorHAnsi" w:cstheme="minorBidi"/>
                <w:sz w:val="22"/>
                <w:szCs w:val="22"/>
              </w:rPr>
              <w:t>proposes to amend in its Chartering and</w:t>
            </w:r>
            <w:r w:rsidR="00EE477C">
              <w:rPr>
                <w:rFonts w:asciiTheme="minorHAnsi" w:eastAsiaTheme="minorEastAsia" w:hAnsiTheme="minorHAnsi" w:cstheme="minorBidi"/>
                <w:sz w:val="22"/>
                <w:szCs w:val="22"/>
              </w:rPr>
              <w:t xml:space="preserve"> </w:t>
            </w:r>
            <w:r w:rsidRPr="00F26504">
              <w:rPr>
                <w:rFonts w:asciiTheme="minorHAnsi" w:eastAsiaTheme="minorEastAsia" w:hAnsiTheme="minorHAnsi" w:cstheme="minorBidi"/>
                <w:sz w:val="22"/>
                <w:szCs w:val="22"/>
              </w:rPr>
              <w:t>Field of Membership Manual the</w:t>
            </w:r>
            <w:r w:rsidR="00EE477C">
              <w:rPr>
                <w:rFonts w:asciiTheme="minorHAnsi" w:eastAsiaTheme="minorEastAsia" w:hAnsiTheme="minorHAnsi" w:cstheme="minorBidi"/>
                <w:sz w:val="22"/>
                <w:szCs w:val="22"/>
              </w:rPr>
              <w:t xml:space="preserve"> </w:t>
            </w:r>
            <w:r w:rsidRPr="00F26504">
              <w:rPr>
                <w:rFonts w:asciiTheme="minorHAnsi" w:eastAsiaTheme="minorEastAsia" w:hAnsiTheme="minorHAnsi" w:cstheme="minorBidi"/>
                <w:sz w:val="22"/>
                <w:szCs w:val="22"/>
              </w:rPr>
              <w:t>defini</w:t>
            </w:r>
            <w:r w:rsidR="00EE477C">
              <w:rPr>
                <w:rFonts w:asciiTheme="minorHAnsi" w:eastAsiaTheme="minorEastAsia" w:hAnsiTheme="minorHAnsi" w:cstheme="minorBidi"/>
                <w:sz w:val="22"/>
                <w:szCs w:val="22"/>
              </w:rPr>
              <w:t xml:space="preserve">tion of the term ‘‘in danger of </w:t>
            </w:r>
            <w:r w:rsidRPr="00F26504">
              <w:rPr>
                <w:rFonts w:asciiTheme="minorHAnsi" w:eastAsiaTheme="minorEastAsia" w:hAnsiTheme="minorHAnsi" w:cstheme="minorBidi"/>
                <w:sz w:val="22"/>
                <w:szCs w:val="22"/>
              </w:rPr>
              <w:t>in</w:t>
            </w:r>
            <w:r w:rsidR="00EE477C">
              <w:rPr>
                <w:rFonts w:asciiTheme="minorHAnsi" w:eastAsiaTheme="minorEastAsia" w:hAnsiTheme="minorHAnsi" w:cstheme="minorBidi"/>
                <w:sz w:val="22"/>
                <w:szCs w:val="22"/>
              </w:rPr>
              <w:t xml:space="preserve">solvency’’ for emergency merger </w:t>
            </w:r>
            <w:r w:rsidRPr="00F26504">
              <w:rPr>
                <w:rFonts w:asciiTheme="minorHAnsi" w:eastAsiaTheme="minorEastAsia" w:hAnsiTheme="minorHAnsi" w:cstheme="minorBidi"/>
                <w:sz w:val="22"/>
                <w:szCs w:val="22"/>
              </w:rPr>
              <w:t>purposes.</w:t>
            </w:r>
          </w:p>
        </w:tc>
      </w:tr>
      <w:tr w:rsidR="00DD09C7" w:rsidRPr="00967605" w:rsidTr="00413996">
        <w:tc>
          <w:tcPr>
            <w:tcW w:w="1278" w:type="dxa"/>
          </w:tcPr>
          <w:p w:rsidR="00DD09C7" w:rsidRDefault="005F7105" w:rsidP="00413996">
            <w:r>
              <w:t>09/05/</w:t>
            </w:r>
            <w:r w:rsidR="00FE2F01">
              <w:t>20</w:t>
            </w:r>
            <w:r>
              <w:t>17</w:t>
            </w:r>
          </w:p>
        </w:tc>
        <w:tc>
          <w:tcPr>
            <w:tcW w:w="2282" w:type="dxa"/>
          </w:tcPr>
          <w:p w:rsidR="00DD09C7" w:rsidRDefault="005F7105" w:rsidP="00413996">
            <w:r>
              <w:t xml:space="preserve">Closing Temporary Corporate CU Stabilization Fund and Setting Share </w:t>
            </w:r>
            <w:r>
              <w:lastRenderedPageBreak/>
              <w:t>Insurance Fund Normal Operating Level</w:t>
            </w:r>
          </w:p>
        </w:tc>
        <w:tc>
          <w:tcPr>
            <w:tcW w:w="1411" w:type="dxa"/>
          </w:tcPr>
          <w:p w:rsidR="00DD09C7" w:rsidRDefault="00281928" w:rsidP="00413996">
            <w:hyperlink r:id="rId10" w:history="1">
              <w:r w:rsidR="005F7105" w:rsidRPr="005F7105">
                <w:rPr>
                  <w:rStyle w:val="Hyperlink"/>
                </w:rPr>
                <w:t>82 FR 34982</w:t>
              </w:r>
            </w:hyperlink>
          </w:p>
        </w:tc>
        <w:tc>
          <w:tcPr>
            <w:tcW w:w="8205" w:type="dxa"/>
          </w:tcPr>
          <w:p w:rsidR="00DD09C7" w:rsidRDefault="005F7105" w:rsidP="00413996">
            <w:pPr>
              <w:pStyle w:val="NormalWeb"/>
              <w:spacing w:before="0" w:beforeAutospacing="0" w:after="0" w:afterAutospacing="0"/>
              <w:rPr>
                <w:rFonts w:asciiTheme="minorHAnsi" w:eastAsiaTheme="minorEastAsia" w:hAnsiTheme="minorHAnsi" w:cstheme="minorBidi"/>
                <w:sz w:val="22"/>
                <w:szCs w:val="22"/>
              </w:rPr>
            </w:pPr>
            <w:r w:rsidRPr="005F7105">
              <w:rPr>
                <w:rFonts w:asciiTheme="minorHAnsi" w:eastAsiaTheme="minorEastAsia" w:hAnsiTheme="minorHAnsi" w:cstheme="minorBidi"/>
                <w:sz w:val="22"/>
                <w:szCs w:val="22"/>
              </w:rPr>
              <w:t xml:space="preserve">The NCUA is considering closing the Temporary Corporate Credit Union Stabilization Fund in 2017, prior to its scheduled closing date in June 2021. Closing the Stabilization Fund and distributing all assets, property, and funds to the National Credit Union Share Insurance Fund (Share Insurance Fund) will increase the Share Insurance Fund's equity </w:t>
            </w:r>
            <w:r w:rsidRPr="005F7105">
              <w:rPr>
                <w:rFonts w:asciiTheme="minorHAnsi" w:eastAsiaTheme="minorEastAsia" w:hAnsiTheme="minorHAnsi" w:cstheme="minorBidi"/>
                <w:sz w:val="22"/>
                <w:szCs w:val="22"/>
              </w:rPr>
              <w:lastRenderedPageBreak/>
              <w:t>ratio and allow for the return to insured credit unions of any equity above the normal operating level.</w:t>
            </w:r>
          </w:p>
        </w:tc>
      </w:tr>
      <w:tr w:rsidR="00182997" w:rsidRPr="00967605" w:rsidTr="00413996">
        <w:tc>
          <w:tcPr>
            <w:tcW w:w="1278" w:type="dxa"/>
          </w:tcPr>
          <w:p w:rsidR="00182997" w:rsidRDefault="00FE2F01" w:rsidP="00413996">
            <w:r>
              <w:lastRenderedPageBreak/>
              <w:t>09/25/2017</w:t>
            </w:r>
          </w:p>
        </w:tc>
        <w:tc>
          <w:tcPr>
            <w:tcW w:w="2282" w:type="dxa"/>
          </w:tcPr>
          <w:p w:rsidR="00182997" w:rsidRDefault="00FE2F01" w:rsidP="00413996">
            <w:r>
              <w:t>DOL Overtime Rule</w:t>
            </w:r>
          </w:p>
        </w:tc>
        <w:tc>
          <w:tcPr>
            <w:tcW w:w="1411" w:type="dxa"/>
          </w:tcPr>
          <w:p w:rsidR="00182997" w:rsidRDefault="00281928" w:rsidP="00413996">
            <w:hyperlink r:id="rId11" w:history="1">
              <w:r w:rsidR="00FE2F01" w:rsidRPr="00FE2F01">
                <w:rPr>
                  <w:rStyle w:val="Hyperlink"/>
                </w:rPr>
                <w:t>82 FR 34616</w:t>
              </w:r>
            </w:hyperlink>
          </w:p>
        </w:tc>
        <w:tc>
          <w:tcPr>
            <w:tcW w:w="8205" w:type="dxa"/>
          </w:tcPr>
          <w:p w:rsidR="00182997" w:rsidRDefault="00FE2F01" w:rsidP="00413996">
            <w:pPr>
              <w:pStyle w:val="NormalWeb"/>
              <w:spacing w:before="0" w:beforeAutospacing="0" w:after="0" w:afterAutospacing="0"/>
              <w:rPr>
                <w:rFonts w:asciiTheme="minorHAnsi" w:eastAsiaTheme="minorEastAsia" w:hAnsiTheme="minorHAnsi" w:cstheme="minorBidi"/>
                <w:sz w:val="22"/>
                <w:szCs w:val="22"/>
              </w:rPr>
            </w:pPr>
            <w:r w:rsidRPr="00FE2F01">
              <w:rPr>
                <w:rFonts w:asciiTheme="minorHAnsi" w:eastAsiaTheme="minorEastAsia" w:hAnsiTheme="minorHAnsi" w:cstheme="minorBidi"/>
                <w:sz w:val="22"/>
                <w:szCs w:val="22"/>
              </w:rPr>
              <w:t>The Department of Labor has published a Request for Information (RFI) from the public on the regulations located at 29 CFR part 541, which define and delimit exemptions from the Fair Labor Standards Act's minimum wage and overtime requirements for certain executive, administrative, professional, outside sales and computer employees. The Department published the RFI to gather information to aid in formulating a proposal to revise the part 541 regulations. The Department is reconsidering a controversial final rule published during the Obama administration, which was to have become effective December 1, 2016, but was stalled by a preliminary injunction from a Texas federal district court pending litigation on the rule. Comments on the Request for Information are due by September 25, 2017.</w:t>
            </w:r>
          </w:p>
        </w:tc>
      </w:tr>
      <w:tr w:rsidR="00182997" w:rsidRPr="00967605" w:rsidTr="00413996">
        <w:tc>
          <w:tcPr>
            <w:tcW w:w="1278" w:type="dxa"/>
          </w:tcPr>
          <w:p w:rsidR="00182997" w:rsidRDefault="00025D51" w:rsidP="00413996">
            <w:r>
              <w:t>07/31/2017</w:t>
            </w:r>
          </w:p>
        </w:tc>
        <w:tc>
          <w:tcPr>
            <w:tcW w:w="2282" w:type="dxa"/>
          </w:tcPr>
          <w:p w:rsidR="00182997" w:rsidRDefault="00305385" w:rsidP="00413996">
            <w:r>
              <w:t>HMDA HELOC Threshold</w:t>
            </w:r>
          </w:p>
        </w:tc>
        <w:tc>
          <w:tcPr>
            <w:tcW w:w="1411" w:type="dxa"/>
          </w:tcPr>
          <w:p w:rsidR="00182997" w:rsidRDefault="00281928" w:rsidP="00413996">
            <w:hyperlink r:id="rId12" w:history="1">
              <w:r w:rsidR="00305385" w:rsidRPr="00305385">
                <w:rPr>
                  <w:rStyle w:val="Hyperlink"/>
                </w:rPr>
                <w:t>82 FR 33455</w:t>
              </w:r>
            </w:hyperlink>
          </w:p>
        </w:tc>
        <w:tc>
          <w:tcPr>
            <w:tcW w:w="8205" w:type="dxa"/>
          </w:tcPr>
          <w:p w:rsidR="00182997" w:rsidRDefault="00305385" w:rsidP="00305385">
            <w:pPr>
              <w:pStyle w:val="NormalWeb"/>
              <w:spacing w:after="0"/>
              <w:rPr>
                <w:rFonts w:asciiTheme="minorHAnsi" w:eastAsiaTheme="minorEastAsia" w:hAnsiTheme="minorHAnsi" w:cstheme="minorBidi"/>
                <w:sz w:val="22"/>
                <w:szCs w:val="22"/>
              </w:rPr>
            </w:pPr>
            <w:r w:rsidRPr="00305385">
              <w:rPr>
                <w:rFonts w:asciiTheme="minorHAnsi" w:eastAsiaTheme="minorEastAsia" w:hAnsiTheme="minorHAnsi" w:cstheme="minorBidi"/>
                <w:sz w:val="22"/>
                <w:szCs w:val="22"/>
              </w:rPr>
              <w:t>The Bureau of Consumer Financial Pr</w:t>
            </w:r>
            <w:r>
              <w:rPr>
                <w:rFonts w:asciiTheme="minorHAnsi" w:eastAsiaTheme="minorEastAsia" w:hAnsiTheme="minorHAnsi" w:cstheme="minorBidi"/>
                <w:sz w:val="22"/>
                <w:szCs w:val="22"/>
              </w:rPr>
              <w:t>otection</w:t>
            </w:r>
            <w:r w:rsidRPr="00305385">
              <w:rPr>
                <w:rFonts w:asciiTheme="minorHAnsi" w:eastAsiaTheme="minorEastAsia" w:hAnsiTheme="minorHAnsi" w:cstheme="minorBidi"/>
                <w:sz w:val="22"/>
                <w:szCs w:val="22"/>
              </w:rPr>
              <w:t xml:space="preserve"> proposes</w:t>
            </w:r>
            <w:r>
              <w:rPr>
                <w:rFonts w:asciiTheme="minorHAnsi" w:eastAsiaTheme="minorEastAsia" w:hAnsiTheme="minorHAnsi" w:cstheme="minorBidi"/>
                <w:sz w:val="22"/>
                <w:szCs w:val="22"/>
              </w:rPr>
              <w:t xml:space="preserve"> </w:t>
            </w:r>
            <w:r w:rsidRPr="00305385">
              <w:rPr>
                <w:rFonts w:asciiTheme="minorHAnsi" w:eastAsiaTheme="minorEastAsia" w:hAnsiTheme="minorHAnsi" w:cstheme="minorBidi"/>
                <w:sz w:val="22"/>
                <w:szCs w:val="22"/>
              </w:rPr>
              <w:t>amendments to Regulation C that would, for a period of two years, increase the threshold for</w:t>
            </w:r>
            <w:r>
              <w:rPr>
                <w:rFonts w:asciiTheme="minorHAnsi" w:eastAsiaTheme="minorEastAsia" w:hAnsiTheme="minorHAnsi" w:cstheme="minorBidi"/>
                <w:sz w:val="22"/>
                <w:szCs w:val="22"/>
              </w:rPr>
              <w:t xml:space="preserve"> </w:t>
            </w:r>
            <w:r w:rsidRPr="00305385">
              <w:rPr>
                <w:rFonts w:asciiTheme="minorHAnsi" w:eastAsiaTheme="minorEastAsia" w:hAnsiTheme="minorHAnsi" w:cstheme="minorBidi"/>
                <w:sz w:val="22"/>
                <w:szCs w:val="22"/>
              </w:rPr>
              <w:t>collecting and reporting data with respect to open-end lines of credit so that financial institutions</w:t>
            </w:r>
            <w:r>
              <w:rPr>
                <w:rFonts w:asciiTheme="minorHAnsi" w:eastAsiaTheme="minorEastAsia" w:hAnsiTheme="minorHAnsi" w:cstheme="minorBidi"/>
                <w:sz w:val="22"/>
                <w:szCs w:val="22"/>
              </w:rPr>
              <w:t xml:space="preserve"> </w:t>
            </w:r>
            <w:r w:rsidRPr="00305385">
              <w:rPr>
                <w:rFonts w:asciiTheme="minorHAnsi" w:eastAsiaTheme="minorEastAsia" w:hAnsiTheme="minorHAnsi" w:cstheme="minorBidi"/>
                <w:sz w:val="22"/>
                <w:szCs w:val="22"/>
              </w:rPr>
              <w:t>originating fewer than 500 open-end lines of credit in either of the preceding two years would</w:t>
            </w:r>
            <w:r>
              <w:rPr>
                <w:rFonts w:asciiTheme="minorHAnsi" w:eastAsiaTheme="minorEastAsia" w:hAnsiTheme="minorHAnsi" w:cstheme="minorBidi"/>
                <w:sz w:val="22"/>
                <w:szCs w:val="22"/>
              </w:rPr>
              <w:t xml:space="preserve"> </w:t>
            </w:r>
            <w:r w:rsidRPr="00305385">
              <w:rPr>
                <w:rFonts w:asciiTheme="minorHAnsi" w:eastAsiaTheme="minorEastAsia" w:hAnsiTheme="minorHAnsi" w:cstheme="minorBidi"/>
                <w:sz w:val="22"/>
                <w:szCs w:val="22"/>
              </w:rPr>
              <w:t>not be required to begin collecting such data until January 1, 2020.</w:t>
            </w:r>
          </w:p>
        </w:tc>
      </w:tr>
      <w:tr w:rsidR="00182997" w:rsidRPr="00967605" w:rsidTr="00413996">
        <w:tc>
          <w:tcPr>
            <w:tcW w:w="1278" w:type="dxa"/>
          </w:tcPr>
          <w:p w:rsidR="00182997" w:rsidRDefault="00182997" w:rsidP="00413996"/>
        </w:tc>
        <w:tc>
          <w:tcPr>
            <w:tcW w:w="2282" w:type="dxa"/>
          </w:tcPr>
          <w:p w:rsidR="00182997" w:rsidRDefault="00182997" w:rsidP="00413996"/>
        </w:tc>
        <w:tc>
          <w:tcPr>
            <w:tcW w:w="1411" w:type="dxa"/>
          </w:tcPr>
          <w:p w:rsidR="00182997" w:rsidRDefault="00182997" w:rsidP="00413996"/>
        </w:tc>
        <w:tc>
          <w:tcPr>
            <w:tcW w:w="8205" w:type="dxa"/>
          </w:tcPr>
          <w:p w:rsidR="00182997" w:rsidRDefault="00182997" w:rsidP="00413996">
            <w:pPr>
              <w:pStyle w:val="NormalWeb"/>
              <w:spacing w:before="0" w:beforeAutospacing="0" w:after="0" w:afterAutospacing="0"/>
              <w:rPr>
                <w:rFonts w:asciiTheme="minorHAnsi" w:eastAsiaTheme="minorEastAsia" w:hAnsiTheme="minorHAnsi" w:cstheme="minorBidi"/>
                <w:sz w:val="22"/>
                <w:szCs w:val="22"/>
              </w:rPr>
            </w:pPr>
          </w:p>
        </w:tc>
      </w:tr>
    </w:tbl>
    <w:p w:rsidR="000C6F62" w:rsidRDefault="000C6F62" w:rsidP="000C6F62">
      <w:pPr>
        <w:spacing w:before="240" w:after="0"/>
        <w:rPr>
          <w:b/>
          <w:sz w:val="28"/>
          <w:szCs w:val="28"/>
        </w:rPr>
      </w:pPr>
      <w:r>
        <w:rPr>
          <w:b/>
          <w:sz w:val="28"/>
          <w:szCs w:val="28"/>
        </w:rPr>
        <w:t>RESOURCES</w:t>
      </w:r>
      <w:r w:rsidR="008756E8">
        <w:rPr>
          <w:b/>
          <w:sz w:val="28"/>
          <w:szCs w:val="28"/>
        </w:rPr>
        <w:t>/GUIDANCE</w:t>
      </w:r>
    </w:p>
    <w:tbl>
      <w:tblPr>
        <w:tblStyle w:val="TableGrid"/>
        <w:tblW w:w="13158" w:type="dxa"/>
        <w:tblLook w:val="04A0" w:firstRow="1" w:lastRow="0" w:firstColumn="1" w:lastColumn="0" w:noHBand="0" w:noVBand="1"/>
      </w:tblPr>
      <w:tblGrid>
        <w:gridCol w:w="2283"/>
        <w:gridCol w:w="10875"/>
      </w:tblGrid>
      <w:tr w:rsidR="000C6F62" w:rsidTr="000C6F62">
        <w:tc>
          <w:tcPr>
            <w:tcW w:w="2283" w:type="dxa"/>
            <w:tcBorders>
              <w:top w:val="nil"/>
              <w:left w:val="nil"/>
              <w:right w:val="nil"/>
            </w:tcBorders>
          </w:tcPr>
          <w:p w:rsidR="000C6F62" w:rsidRDefault="000C6F62" w:rsidP="00413996">
            <w:pPr>
              <w:rPr>
                <w:b/>
              </w:rPr>
            </w:pPr>
            <w:r>
              <w:rPr>
                <w:b/>
              </w:rPr>
              <w:t>Guidance</w:t>
            </w:r>
          </w:p>
        </w:tc>
        <w:tc>
          <w:tcPr>
            <w:tcW w:w="10875" w:type="dxa"/>
            <w:tcBorders>
              <w:top w:val="nil"/>
              <w:left w:val="nil"/>
              <w:right w:val="nil"/>
            </w:tcBorders>
          </w:tcPr>
          <w:p w:rsidR="000C6F62" w:rsidRDefault="000C6F62" w:rsidP="00413996">
            <w:pPr>
              <w:rPr>
                <w:b/>
              </w:rPr>
            </w:pPr>
            <w:r>
              <w:rPr>
                <w:b/>
              </w:rPr>
              <w:t>Summary</w:t>
            </w:r>
          </w:p>
        </w:tc>
      </w:tr>
      <w:tr w:rsidR="00957814" w:rsidRPr="00967605" w:rsidTr="000C6F62">
        <w:tc>
          <w:tcPr>
            <w:tcW w:w="2283" w:type="dxa"/>
          </w:tcPr>
          <w:p w:rsidR="00957814" w:rsidRDefault="00EE477C" w:rsidP="00413996">
            <w:r>
              <w:t>FDIC Supervisory Guidance on Risk Management Exam Procedures</w:t>
            </w:r>
          </w:p>
        </w:tc>
        <w:tc>
          <w:tcPr>
            <w:tcW w:w="10875" w:type="dxa"/>
          </w:tcPr>
          <w:p w:rsidR="00957814" w:rsidRDefault="00EE477C" w:rsidP="00A809DC">
            <w:pPr>
              <w:pStyle w:val="NormalWeb"/>
              <w:spacing w:before="0" w:beforeAutospacing="0" w:after="0" w:afterAutospacing="0"/>
              <w:rPr>
                <w:rFonts w:asciiTheme="minorHAnsi" w:hAnsiTheme="minorHAnsi" w:cs="Arial"/>
                <w:sz w:val="22"/>
                <w:szCs w:val="22"/>
                <w:shd w:val="clear" w:color="auto" w:fill="FFFFFF"/>
              </w:rPr>
            </w:pPr>
            <w:r w:rsidRPr="00EE477C">
              <w:rPr>
                <w:rFonts w:asciiTheme="minorHAnsi" w:hAnsiTheme="minorHAnsi" w:cs="Arial"/>
                <w:sz w:val="22"/>
                <w:szCs w:val="22"/>
                <w:shd w:val="clear" w:color="auto" w:fill="FFFFFF"/>
              </w:rPr>
              <w:t xml:space="preserve">On July 26, the FDIC issued Financial Institution Letter </w:t>
            </w:r>
            <w:hyperlink r:id="rId13" w:history="1">
              <w:r w:rsidRPr="00EE477C">
                <w:rPr>
                  <w:rStyle w:val="Hyperlink"/>
                  <w:rFonts w:asciiTheme="minorHAnsi" w:hAnsiTheme="minorHAnsi" w:cs="Arial"/>
                  <w:sz w:val="22"/>
                  <w:szCs w:val="22"/>
                  <w:shd w:val="clear" w:color="auto" w:fill="FFFFFF"/>
                </w:rPr>
                <w:t>FIL-31-2017</w:t>
              </w:r>
            </w:hyperlink>
            <w:r w:rsidRPr="00EE477C">
              <w:rPr>
                <w:rFonts w:asciiTheme="minorHAnsi" w:hAnsiTheme="minorHAnsi" w:cs="Arial"/>
                <w:sz w:val="22"/>
                <w:szCs w:val="22"/>
                <w:shd w:val="clear" w:color="auto" w:fill="FFFFFF"/>
              </w:rPr>
              <w:t xml:space="preserve"> to announce updates to its Risk Management Manual of Examination Policies. The revisions, which incorporated guidance from the FDIC’s Board of Directors, updated the Report of Examination Instructions regarding matters requiring board attention and “deviations from the safety and soundness principles underlying statements of policy.” The revision also included updated instructions for examiners to use when complying with examination schedules. The letter applies to all FDIC-supervised financial institutions.</w:t>
            </w:r>
          </w:p>
        </w:tc>
      </w:tr>
      <w:tr w:rsidR="00D4416D" w:rsidRPr="00967605" w:rsidTr="000C6F62">
        <w:tc>
          <w:tcPr>
            <w:tcW w:w="2283" w:type="dxa"/>
          </w:tcPr>
          <w:p w:rsidR="00D4416D" w:rsidRDefault="00EE477C" w:rsidP="00413996">
            <w:r>
              <w:t>FDIC Affordable Mortgage Lending Guide Part II Update</w:t>
            </w:r>
          </w:p>
        </w:tc>
        <w:tc>
          <w:tcPr>
            <w:tcW w:w="10875" w:type="dxa"/>
          </w:tcPr>
          <w:p w:rsidR="00D4416D" w:rsidRDefault="00EE477C" w:rsidP="00D4416D">
            <w:pPr>
              <w:pStyle w:val="NormalWeb"/>
              <w:spacing w:after="0"/>
              <w:rPr>
                <w:rFonts w:asciiTheme="minorHAnsi" w:hAnsiTheme="minorHAnsi" w:cs="Arial"/>
                <w:sz w:val="22"/>
                <w:szCs w:val="22"/>
                <w:shd w:val="clear" w:color="auto" w:fill="FFFFFF"/>
              </w:rPr>
            </w:pPr>
            <w:r w:rsidRPr="00EE477C">
              <w:rPr>
                <w:rFonts w:asciiTheme="minorHAnsi" w:hAnsiTheme="minorHAnsi" w:cs="Arial"/>
                <w:sz w:val="22"/>
                <w:szCs w:val="22"/>
                <w:shd w:val="clear" w:color="auto" w:fill="FFFFFF"/>
              </w:rPr>
              <w:t xml:space="preserve">On July 26, the FDIC released an update to </w:t>
            </w:r>
            <w:hyperlink r:id="rId14" w:history="1">
              <w:r w:rsidRPr="00EE477C">
                <w:rPr>
                  <w:rStyle w:val="Hyperlink"/>
                  <w:rFonts w:asciiTheme="minorHAnsi" w:hAnsiTheme="minorHAnsi" w:cs="Arial"/>
                  <w:sz w:val="22"/>
                  <w:szCs w:val="22"/>
                  <w:shd w:val="clear" w:color="auto" w:fill="FFFFFF"/>
                </w:rPr>
                <w:t>its Affordable Mortgage Lending Guide, Part II: State Housing Finance Agencies</w:t>
              </w:r>
            </w:hyperlink>
            <w:r>
              <w:rPr>
                <w:rFonts w:asciiTheme="minorHAnsi" w:hAnsiTheme="minorHAnsi" w:cs="Arial"/>
                <w:sz w:val="22"/>
                <w:szCs w:val="22"/>
                <w:shd w:val="clear" w:color="auto" w:fill="FFFFFF"/>
              </w:rPr>
              <w:t xml:space="preserve"> </w:t>
            </w:r>
            <w:r w:rsidRPr="00EE477C">
              <w:rPr>
                <w:rFonts w:asciiTheme="minorHAnsi" w:hAnsiTheme="minorHAnsi" w:cs="Arial"/>
                <w:sz w:val="22"/>
                <w:szCs w:val="22"/>
                <w:shd w:val="clear" w:color="auto" w:fill="FFFFFF"/>
              </w:rPr>
              <w:t xml:space="preserve">and </w:t>
            </w:r>
            <w:hyperlink r:id="rId15" w:history="1">
              <w:r w:rsidRPr="00EE477C">
                <w:rPr>
                  <w:rStyle w:val="Hyperlink"/>
                  <w:rFonts w:asciiTheme="minorHAnsi" w:hAnsiTheme="minorHAnsi" w:cs="Arial"/>
                  <w:sz w:val="22"/>
                  <w:szCs w:val="22"/>
                  <w:shd w:val="clear" w:color="auto" w:fill="FFFFFF"/>
                </w:rPr>
                <w:t>Quick Links: State Links for Housing Finance Agencies</w:t>
              </w:r>
            </w:hyperlink>
            <w:r w:rsidRPr="00EE477C">
              <w:rPr>
                <w:rFonts w:asciiTheme="minorHAnsi" w:hAnsiTheme="minorHAnsi" w:cs="Arial"/>
                <w:sz w:val="22"/>
                <w:szCs w:val="22"/>
                <w:shd w:val="clear" w:color="auto" w:fill="FFFFFF"/>
              </w:rPr>
              <w:t>. The Guide provides information for community banks about the programs and products offered by each Sta</w:t>
            </w:r>
            <w:r>
              <w:rPr>
                <w:rFonts w:asciiTheme="minorHAnsi" w:hAnsiTheme="minorHAnsi" w:cs="Arial"/>
                <w:sz w:val="22"/>
                <w:szCs w:val="22"/>
                <w:shd w:val="clear" w:color="auto" w:fill="FFFFFF"/>
              </w:rPr>
              <w:t>te Housing Finance Agency</w:t>
            </w:r>
            <w:r w:rsidRPr="00EE477C">
              <w:rPr>
                <w:rFonts w:asciiTheme="minorHAnsi" w:hAnsiTheme="minorHAnsi" w:cs="Arial"/>
                <w:sz w:val="22"/>
                <w:szCs w:val="22"/>
                <w:shd w:val="clear" w:color="auto" w:fill="FFFFFF"/>
              </w:rPr>
              <w:t>, and discusses: (</w:t>
            </w:r>
            <w:proofErr w:type="spellStart"/>
            <w:r w:rsidRPr="00EE477C">
              <w:rPr>
                <w:rFonts w:asciiTheme="minorHAnsi" w:hAnsiTheme="minorHAnsi" w:cs="Arial"/>
                <w:sz w:val="22"/>
                <w:szCs w:val="22"/>
                <w:shd w:val="clear" w:color="auto" w:fill="FFFFFF"/>
              </w:rPr>
              <w:t>i</w:t>
            </w:r>
            <w:proofErr w:type="spellEnd"/>
            <w:r w:rsidRPr="00EE477C">
              <w:rPr>
                <w:rFonts w:asciiTheme="minorHAnsi" w:hAnsiTheme="minorHAnsi" w:cs="Arial"/>
                <w:sz w:val="22"/>
                <w:szCs w:val="22"/>
                <w:shd w:val="clear" w:color="auto" w:fill="FFFFFF"/>
              </w:rPr>
              <w:t xml:space="preserve">) first-lien </w:t>
            </w:r>
            <w:r w:rsidRPr="00EE477C">
              <w:rPr>
                <w:rFonts w:asciiTheme="minorHAnsi" w:hAnsiTheme="minorHAnsi" w:cs="Arial"/>
                <w:sz w:val="22"/>
                <w:szCs w:val="22"/>
                <w:shd w:val="clear" w:color="auto" w:fill="FFFFFF"/>
              </w:rPr>
              <w:lastRenderedPageBreak/>
              <w:t>mortgage products; (ii) down payment and closing cost assistance; (iii) mortgage tax credit certificates; and (iv) mortgage lending homeownership education and counseling programs.</w:t>
            </w:r>
          </w:p>
        </w:tc>
      </w:tr>
      <w:tr w:rsidR="00D4416D" w:rsidRPr="00967605" w:rsidTr="000C6F62">
        <w:tc>
          <w:tcPr>
            <w:tcW w:w="2283" w:type="dxa"/>
          </w:tcPr>
          <w:p w:rsidR="00D4416D" w:rsidRDefault="00E51E01" w:rsidP="00413996">
            <w:r>
              <w:lastRenderedPageBreak/>
              <w:t>FTC Blog on Reasonable Data Security Practices</w:t>
            </w:r>
          </w:p>
        </w:tc>
        <w:tc>
          <w:tcPr>
            <w:tcW w:w="10875" w:type="dxa"/>
          </w:tcPr>
          <w:p w:rsidR="00D4416D" w:rsidRPr="00023584" w:rsidRDefault="00E51E01" w:rsidP="00023584">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T</w:t>
            </w:r>
            <w:r w:rsidRPr="00E51E01">
              <w:rPr>
                <w:rFonts w:asciiTheme="minorHAnsi" w:hAnsiTheme="minorHAnsi" w:cs="Arial"/>
                <w:sz w:val="22"/>
                <w:szCs w:val="22"/>
                <w:shd w:val="clear" w:color="auto" w:fill="FFFFFF"/>
              </w:rPr>
              <w:t xml:space="preserve">he FTC announced a new initiative as part of ongoing efforts to provide guidance to businesses on protecting and securing consumer data. Each Friday, the FTC will post a new blog that will build on the FTC’s </w:t>
            </w:r>
            <w:hyperlink r:id="rId16" w:history="1">
              <w:r w:rsidRPr="00E51E01">
                <w:rPr>
                  <w:rStyle w:val="Hyperlink"/>
                  <w:rFonts w:asciiTheme="minorHAnsi" w:hAnsiTheme="minorHAnsi" w:cs="Arial"/>
                  <w:sz w:val="22"/>
                  <w:szCs w:val="22"/>
                  <w:shd w:val="clear" w:color="auto" w:fill="FFFFFF"/>
                </w:rPr>
                <w:t>Start with Security Principles</w:t>
              </w:r>
            </w:hyperlink>
            <w:r w:rsidRPr="00E51E01">
              <w:rPr>
                <w:rFonts w:asciiTheme="minorHAnsi" w:hAnsiTheme="minorHAnsi" w:cs="Arial"/>
                <w:sz w:val="22"/>
                <w:szCs w:val="22"/>
                <w:shd w:val="clear" w:color="auto" w:fill="FFFFFF"/>
              </w:rPr>
              <w:t>, and will showcase hypothetical examples using material from closed investigations, FTC law enforcement actions, and questions from businesses. The first blog post, “</w:t>
            </w:r>
            <w:hyperlink r:id="rId17" w:history="1">
              <w:r w:rsidRPr="00E51E01">
                <w:rPr>
                  <w:rStyle w:val="Hyperlink"/>
                  <w:rFonts w:asciiTheme="minorHAnsi" w:hAnsiTheme="minorHAnsi" w:cs="Arial"/>
                  <w:sz w:val="22"/>
                  <w:szCs w:val="22"/>
                  <w:shd w:val="clear" w:color="auto" w:fill="FFFFFF"/>
                </w:rPr>
                <w:t>Stick with Security: Insights into FTC Investigations</w:t>
              </w:r>
            </w:hyperlink>
            <w:r w:rsidRPr="00E51E01">
              <w:rPr>
                <w:rFonts w:asciiTheme="minorHAnsi" w:hAnsiTheme="minorHAnsi" w:cs="Arial"/>
                <w:sz w:val="22"/>
                <w:szCs w:val="22"/>
                <w:shd w:val="clear" w:color="auto" w:fill="FFFFFF"/>
              </w:rPr>
              <w:t>,” highlights practical approaches for businesses to take in securing consumer data based on examples gleaned from FTC complaints and orders. The post also examines emerging themes from closed FTC data security investigations that did not necessarily result in FTC law enforcement.</w:t>
            </w:r>
          </w:p>
        </w:tc>
      </w:tr>
      <w:tr w:rsidR="00651041" w:rsidRPr="00967605" w:rsidTr="000C6F62">
        <w:tc>
          <w:tcPr>
            <w:tcW w:w="2283" w:type="dxa"/>
          </w:tcPr>
          <w:p w:rsidR="00651041" w:rsidRDefault="00E51E01" w:rsidP="00413996">
            <w:r>
              <w:t xml:space="preserve">DCU Bulletin B-17-14 Website Accessibility and compliance with ADA.  </w:t>
            </w:r>
          </w:p>
        </w:tc>
        <w:tc>
          <w:tcPr>
            <w:tcW w:w="10875" w:type="dxa"/>
          </w:tcPr>
          <w:p w:rsidR="00FC4C42" w:rsidRPr="00023584" w:rsidRDefault="001B4818" w:rsidP="00025D51">
            <w:pPr>
              <w:pStyle w:val="NormalWeb"/>
              <w:spacing w:after="0"/>
              <w:rPr>
                <w:rFonts w:asciiTheme="minorHAnsi" w:hAnsiTheme="minorHAnsi" w:cs="Arial"/>
                <w:sz w:val="22"/>
                <w:szCs w:val="22"/>
                <w:shd w:val="clear" w:color="auto" w:fill="FFFFFF"/>
              </w:rPr>
            </w:pPr>
            <w:hyperlink r:id="rId18" w:history="1">
              <w:r w:rsidRPr="001B4818">
                <w:rPr>
                  <w:rStyle w:val="Hyperlink"/>
                  <w:rFonts w:asciiTheme="minorHAnsi" w:hAnsiTheme="minorHAnsi" w:cs="Arial"/>
                  <w:sz w:val="22"/>
                  <w:szCs w:val="22"/>
                  <w:shd w:val="clear" w:color="auto" w:fill="FFFFFF"/>
                </w:rPr>
                <w:t>Bulletin B-17-14</w:t>
              </w:r>
            </w:hyperlink>
            <w:r>
              <w:rPr>
                <w:rFonts w:asciiTheme="minorHAnsi" w:hAnsiTheme="minorHAnsi" w:cs="Arial"/>
                <w:sz w:val="22"/>
                <w:szCs w:val="22"/>
                <w:shd w:val="clear" w:color="auto" w:fill="FFFFFF"/>
              </w:rPr>
              <w:t>, reminds</w:t>
            </w:r>
            <w:r w:rsidRPr="001B4818">
              <w:rPr>
                <w:rFonts w:asciiTheme="minorHAnsi" w:hAnsiTheme="minorHAnsi" w:cs="Arial"/>
                <w:sz w:val="22"/>
                <w:szCs w:val="22"/>
                <w:shd w:val="clear" w:color="auto" w:fill="FFFFFF"/>
              </w:rPr>
              <w:t xml:space="preserve"> credit unions that their website should be accessible to persons with disabilities.  This was probably from the DOJ changing the rule making priority status on “Nondiscrimination on the Bases of Disability; Accessibility of Web Information and Service of Public Accommodations” to inactive on its most recent priorities update.</w:t>
            </w:r>
          </w:p>
        </w:tc>
      </w:tr>
      <w:tr w:rsidR="00A96822" w:rsidRPr="00967605" w:rsidTr="000C6F62">
        <w:tc>
          <w:tcPr>
            <w:tcW w:w="2283" w:type="dxa"/>
          </w:tcPr>
          <w:p w:rsidR="00A96822" w:rsidRDefault="00025D51" w:rsidP="00413996">
            <w:r>
              <w:t>DOJ &amp; ADA Website Accessibility</w:t>
            </w:r>
          </w:p>
        </w:tc>
        <w:tc>
          <w:tcPr>
            <w:tcW w:w="10875" w:type="dxa"/>
          </w:tcPr>
          <w:p w:rsidR="00A96822" w:rsidRPr="0018601B" w:rsidRDefault="00025D51" w:rsidP="00CC43EC">
            <w:pPr>
              <w:pStyle w:val="NormalWeb"/>
              <w:spacing w:after="0"/>
              <w:rPr>
                <w:rFonts w:asciiTheme="minorHAnsi" w:hAnsiTheme="minorHAnsi" w:cs="Arial"/>
                <w:sz w:val="22"/>
                <w:szCs w:val="22"/>
                <w:shd w:val="clear" w:color="auto" w:fill="FFFFFF"/>
              </w:rPr>
            </w:pPr>
            <w:r w:rsidRPr="00025D51">
              <w:rPr>
                <w:rFonts w:asciiTheme="minorHAnsi" w:hAnsiTheme="minorHAnsi" w:cs="Arial"/>
                <w:sz w:val="22"/>
                <w:szCs w:val="22"/>
                <w:shd w:val="clear" w:color="auto" w:fill="FFFFFF"/>
              </w:rPr>
              <w:t>Website accessibility is no longer a top priority for the Department of Justice, according to the Trump administration's recently released rulemaking agenda for the remainder of 2017 and 2018. DOJ had announced previously that it would propose regulations in 2018 regarding website accessibility under Titles II and III of the Americans with Disabilities Act. However, these actions were categorized as “inactive” on the updated rulemaking schedule and no</w:t>
            </w:r>
            <w:r>
              <w:rPr>
                <w:rFonts w:asciiTheme="minorHAnsi" w:hAnsiTheme="minorHAnsi" w:cs="Arial"/>
                <w:sz w:val="22"/>
                <w:szCs w:val="22"/>
                <w:shd w:val="clear" w:color="auto" w:fill="FFFFFF"/>
              </w:rPr>
              <w:t xml:space="preserve"> longer reflect a target date.</w:t>
            </w:r>
          </w:p>
        </w:tc>
      </w:tr>
      <w:tr w:rsidR="00957814" w:rsidRPr="00967605" w:rsidTr="000C6F62">
        <w:tc>
          <w:tcPr>
            <w:tcW w:w="2283" w:type="dxa"/>
          </w:tcPr>
          <w:p w:rsidR="00957814" w:rsidRDefault="0018601B" w:rsidP="00413996">
            <w:r>
              <w:t>CUBA FAQs Updates</w:t>
            </w:r>
          </w:p>
        </w:tc>
        <w:tc>
          <w:tcPr>
            <w:tcW w:w="10875" w:type="dxa"/>
          </w:tcPr>
          <w:p w:rsidR="00957814" w:rsidRDefault="0018601B" w:rsidP="00CC43EC">
            <w:pPr>
              <w:pStyle w:val="NormalWeb"/>
              <w:spacing w:after="0"/>
              <w:rPr>
                <w:rFonts w:asciiTheme="minorHAnsi" w:hAnsiTheme="minorHAnsi" w:cs="Arial"/>
                <w:sz w:val="22"/>
                <w:szCs w:val="22"/>
                <w:shd w:val="clear" w:color="auto" w:fill="FFFFFF"/>
              </w:rPr>
            </w:pPr>
            <w:r w:rsidRPr="0018601B">
              <w:rPr>
                <w:rFonts w:asciiTheme="minorHAnsi" w:hAnsiTheme="minorHAnsi" w:cs="Arial"/>
                <w:sz w:val="22"/>
                <w:szCs w:val="22"/>
                <w:shd w:val="clear" w:color="auto" w:fill="FFFFFF"/>
              </w:rPr>
              <w:t xml:space="preserve">New and updated </w:t>
            </w:r>
            <w:hyperlink r:id="rId19" w:history="1">
              <w:r w:rsidRPr="00FE2F01">
                <w:rPr>
                  <w:rStyle w:val="Hyperlink"/>
                  <w:rFonts w:asciiTheme="minorHAnsi" w:hAnsiTheme="minorHAnsi" w:cs="Arial"/>
                  <w:sz w:val="22"/>
                  <w:szCs w:val="22"/>
                  <w:shd w:val="clear" w:color="auto" w:fill="FFFFFF"/>
                </w:rPr>
                <w:t>Frequently Asked Questions</w:t>
              </w:r>
            </w:hyperlink>
            <w:r w:rsidRPr="0018601B">
              <w:rPr>
                <w:rFonts w:asciiTheme="minorHAnsi" w:hAnsiTheme="minorHAnsi" w:cs="Arial"/>
                <w:sz w:val="22"/>
                <w:szCs w:val="22"/>
                <w:shd w:val="clear" w:color="auto" w:fill="FFFFFF"/>
              </w:rPr>
              <w:t xml:space="preserve"> regarding Cuba Assets Control Regulations have been issued by OFAC in a follow-up to the president's June 16, 2017, announcement of adjustments to the administration's policy on relations with Cuba.</w:t>
            </w:r>
          </w:p>
        </w:tc>
      </w:tr>
      <w:tr w:rsidR="00FF3D8B" w:rsidRPr="00967605" w:rsidTr="000C6F62">
        <w:tc>
          <w:tcPr>
            <w:tcW w:w="2283" w:type="dxa"/>
          </w:tcPr>
          <w:p w:rsidR="00FF3D8B" w:rsidRDefault="00305385" w:rsidP="00413996">
            <w:r>
              <w:t>HMDA Loan Scenarios</w:t>
            </w:r>
          </w:p>
        </w:tc>
        <w:tc>
          <w:tcPr>
            <w:tcW w:w="10875" w:type="dxa"/>
          </w:tcPr>
          <w:p w:rsidR="00FF3D8B" w:rsidRDefault="00305385" w:rsidP="00F8598C">
            <w:pPr>
              <w:pStyle w:val="NormalWeb"/>
              <w:spacing w:after="0"/>
              <w:rPr>
                <w:rFonts w:asciiTheme="minorHAnsi" w:hAnsiTheme="minorHAnsi" w:cs="Arial"/>
                <w:sz w:val="22"/>
                <w:szCs w:val="22"/>
                <w:shd w:val="clear" w:color="auto" w:fill="FFFFFF"/>
              </w:rPr>
            </w:pPr>
            <w:r w:rsidRPr="00305385">
              <w:rPr>
                <w:rFonts w:asciiTheme="minorHAnsi" w:hAnsiTheme="minorHAnsi" w:cs="Arial"/>
                <w:sz w:val="22"/>
                <w:szCs w:val="22"/>
                <w:shd w:val="clear" w:color="auto" w:fill="FFFFFF"/>
              </w:rPr>
              <w:t xml:space="preserve">the CFPB released a </w:t>
            </w:r>
            <w:hyperlink r:id="rId20" w:history="1">
              <w:r w:rsidRPr="00305385">
                <w:rPr>
                  <w:rStyle w:val="Hyperlink"/>
                  <w:rFonts w:asciiTheme="minorHAnsi" w:hAnsiTheme="minorHAnsi" w:cs="Arial"/>
                  <w:sz w:val="22"/>
                  <w:szCs w:val="22"/>
                  <w:shd w:val="clear" w:color="auto" w:fill="FFFFFF"/>
                </w:rPr>
                <w:t>set of hypothetical transactions</w:t>
              </w:r>
            </w:hyperlink>
            <w:r w:rsidRPr="00305385">
              <w:rPr>
                <w:rFonts w:asciiTheme="minorHAnsi" w:hAnsiTheme="minorHAnsi" w:cs="Arial"/>
                <w:sz w:val="22"/>
                <w:szCs w:val="22"/>
                <w:shd w:val="clear" w:color="auto" w:fill="FFFFFF"/>
              </w:rPr>
              <w:t xml:space="preserve"> as an additional tool for complying with upcoming changes to HMDA. Three different scenarios are covered: single-family closed-end purchase loans, non-natural person, multifamily purchase loans, and open-end lines of credit. The scenarios include data mapping samples based on the loan scenarios presented as storylines, with assumptions made "for the sake of simplicity and continuity," but may help credit unions make some determinations as to how to report some data points. The CFPB also made some changes to the documents on its </w:t>
            </w:r>
            <w:hyperlink r:id="rId21" w:history="1">
              <w:r w:rsidRPr="00305385">
                <w:rPr>
                  <w:rStyle w:val="Hyperlink"/>
                  <w:rFonts w:asciiTheme="minorHAnsi" w:hAnsiTheme="minorHAnsi" w:cs="Arial"/>
                  <w:sz w:val="22"/>
                  <w:szCs w:val="22"/>
                  <w:shd w:val="clear" w:color="auto" w:fill="FFFFFF"/>
                </w:rPr>
                <w:t>Resources for HMDA Filers page</w:t>
              </w:r>
            </w:hyperlink>
            <w:r w:rsidRPr="00305385">
              <w:rPr>
                <w:rFonts w:asciiTheme="minorHAnsi" w:hAnsiTheme="minorHAnsi" w:cs="Arial"/>
                <w:sz w:val="22"/>
                <w:szCs w:val="22"/>
                <w:shd w:val="clear" w:color="auto" w:fill="FFFFFF"/>
              </w:rPr>
              <w:t>.</w:t>
            </w:r>
          </w:p>
        </w:tc>
      </w:tr>
      <w:tr w:rsidR="00FF3D8B" w:rsidRPr="00967605" w:rsidTr="000C6F62">
        <w:tc>
          <w:tcPr>
            <w:tcW w:w="2283" w:type="dxa"/>
          </w:tcPr>
          <w:p w:rsidR="00FF3D8B" w:rsidRDefault="006356B1" w:rsidP="00413996">
            <w:r>
              <w:t>DCU Bulletin B-17-13</w:t>
            </w:r>
          </w:p>
        </w:tc>
        <w:tc>
          <w:tcPr>
            <w:tcW w:w="10875" w:type="dxa"/>
          </w:tcPr>
          <w:p w:rsidR="00FF3D8B" w:rsidRDefault="006356B1" w:rsidP="00CC43EC">
            <w:pPr>
              <w:pStyle w:val="NormalWeb"/>
              <w:spacing w:after="0"/>
              <w:rPr>
                <w:rFonts w:asciiTheme="minorHAnsi" w:hAnsiTheme="minorHAnsi" w:cs="Arial"/>
                <w:sz w:val="22"/>
                <w:szCs w:val="22"/>
                <w:shd w:val="clear" w:color="auto" w:fill="FFFFFF"/>
              </w:rPr>
            </w:pPr>
            <w:r w:rsidRPr="006356B1">
              <w:rPr>
                <w:rFonts w:asciiTheme="minorHAnsi" w:hAnsiTheme="minorHAnsi" w:cs="Arial"/>
                <w:sz w:val="22"/>
                <w:szCs w:val="22"/>
                <w:shd w:val="clear" w:color="auto" w:fill="FFFFFF"/>
              </w:rPr>
              <w:t xml:space="preserve">The Division of Credit Unions has published </w:t>
            </w:r>
            <w:hyperlink r:id="rId22" w:history="1">
              <w:r w:rsidRPr="006356B1">
                <w:rPr>
                  <w:rStyle w:val="Hyperlink"/>
                  <w:rFonts w:asciiTheme="minorHAnsi" w:hAnsiTheme="minorHAnsi" w:cs="Arial"/>
                  <w:sz w:val="22"/>
                  <w:szCs w:val="22"/>
                  <w:shd w:val="clear" w:color="auto" w:fill="FFFFFF"/>
                </w:rPr>
                <w:t>Bulletin B-17-13</w:t>
              </w:r>
            </w:hyperlink>
            <w:r w:rsidRPr="006356B1">
              <w:rPr>
                <w:rFonts w:asciiTheme="minorHAnsi" w:hAnsiTheme="minorHAnsi" w:cs="Arial"/>
                <w:sz w:val="22"/>
                <w:szCs w:val="22"/>
                <w:shd w:val="clear" w:color="auto" w:fill="FFFFFF"/>
              </w:rPr>
              <w:t xml:space="preserve"> (Revisions to the Washington Credit Union Act: Northwest Credit Union Association Senate Bill 5144).  </w:t>
            </w:r>
          </w:p>
        </w:tc>
      </w:tr>
      <w:tr w:rsidR="00FF3D8B" w:rsidRPr="00967605" w:rsidTr="000C6F62">
        <w:tc>
          <w:tcPr>
            <w:tcW w:w="2283" w:type="dxa"/>
          </w:tcPr>
          <w:p w:rsidR="00FF3D8B" w:rsidRDefault="00E31C1A" w:rsidP="00413996">
            <w:r>
              <w:t>CFPB Financial Wellness Programs</w:t>
            </w:r>
          </w:p>
        </w:tc>
        <w:tc>
          <w:tcPr>
            <w:tcW w:w="10875" w:type="dxa"/>
          </w:tcPr>
          <w:p w:rsidR="00FF3D8B" w:rsidRDefault="00E31C1A" w:rsidP="00CC43EC">
            <w:pPr>
              <w:pStyle w:val="NormalWeb"/>
              <w:spacing w:after="0"/>
              <w:rPr>
                <w:rFonts w:asciiTheme="minorHAnsi" w:hAnsiTheme="minorHAnsi" w:cs="Arial"/>
                <w:sz w:val="22"/>
                <w:szCs w:val="22"/>
                <w:shd w:val="clear" w:color="auto" w:fill="FFFFFF"/>
              </w:rPr>
            </w:pPr>
            <w:r w:rsidRPr="00E31C1A">
              <w:rPr>
                <w:rFonts w:asciiTheme="minorHAnsi" w:hAnsiTheme="minorHAnsi" w:cs="Arial"/>
                <w:sz w:val="22"/>
                <w:szCs w:val="22"/>
                <w:shd w:val="clear" w:color="auto" w:fill="FFFFFF"/>
              </w:rPr>
              <w:t xml:space="preserve">The Bureau has announced the availability of an eight-step </w:t>
            </w:r>
            <w:hyperlink r:id="rId23" w:history="1">
              <w:r w:rsidRPr="00E31C1A">
                <w:rPr>
                  <w:rStyle w:val="Hyperlink"/>
                  <w:rFonts w:asciiTheme="minorHAnsi" w:hAnsiTheme="minorHAnsi" w:cs="Arial"/>
                  <w:sz w:val="22"/>
                  <w:szCs w:val="22"/>
                  <w:shd w:val="clear" w:color="auto" w:fill="FFFFFF"/>
                </w:rPr>
                <w:t>resource guide</w:t>
              </w:r>
            </w:hyperlink>
            <w:r w:rsidRPr="00E31C1A">
              <w:rPr>
                <w:rFonts w:asciiTheme="minorHAnsi" w:hAnsiTheme="minorHAnsi" w:cs="Arial"/>
                <w:sz w:val="22"/>
                <w:szCs w:val="22"/>
                <w:shd w:val="clear" w:color="auto" w:fill="FFFFFF"/>
              </w:rPr>
              <w:t xml:space="preserve"> and an </w:t>
            </w:r>
            <w:hyperlink r:id="rId24" w:history="1">
              <w:r w:rsidRPr="00E31C1A">
                <w:rPr>
                  <w:rStyle w:val="Hyperlink"/>
                  <w:rFonts w:asciiTheme="minorHAnsi" w:hAnsiTheme="minorHAnsi" w:cs="Arial"/>
                  <w:sz w:val="22"/>
                  <w:szCs w:val="22"/>
                  <w:shd w:val="clear" w:color="auto" w:fill="FFFFFF"/>
                </w:rPr>
                <w:t>illustrated summary</w:t>
              </w:r>
            </w:hyperlink>
            <w:r w:rsidRPr="00E31C1A">
              <w:rPr>
                <w:rFonts w:asciiTheme="minorHAnsi" w:hAnsiTheme="minorHAnsi" w:cs="Arial"/>
                <w:sz w:val="22"/>
                <w:szCs w:val="22"/>
                <w:shd w:val="clear" w:color="auto" w:fill="FFFFFF"/>
              </w:rPr>
              <w:t xml:space="preserve"> listing ways in which business and HR leaders can create a financial wellness program.</w:t>
            </w:r>
          </w:p>
        </w:tc>
      </w:tr>
      <w:tr w:rsidR="00FF3D8B" w:rsidRPr="00967605" w:rsidTr="000C6F62">
        <w:tc>
          <w:tcPr>
            <w:tcW w:w="2283" w:type="dxa"/>
          </w:tcPr>
          <w:p w:rsidR="00FF3D8B" w:rsidRDefault="004D2631" w:rsidP="00413996">
            <w:r>
              <w:lastRenderedPageBreak/>
              <w:t xml:space="preserve">July Beige Book </w:t>
            </w:r>
          </w:p>
        </w:tc>
        <w:tc>
          <w:tcPr>
            <w:tcW w:w="10875" w:type="dxa"/>
          </w:tcPr>
          <w:p w:rsidR="00FF3D8B" w:rsidRDefault="001328C5" w:rsidP="00CC43EC">
            <w:pPr>
              <w:pStyle w:val="NormalWeb"/>
              <w:spacing w:after="0"/>
              <w:rPr>
                <w:rFonts w:asciiTheme="minorHAnsi" w:hAnsiTheme="minorHAnsi" w:cs="Arial"/>
                <w:sz w:val="22"/>
                <w:szCs w:val="22"/>
                <w:shd w:val="clear" w:color="auto" w:fill="FFFFFF"/>
              </w:rPr>
            </w:pPr>
            <w:r w:rsidRPr="001328C5">
              <w:rPr>
                <w:rFonts w:asciiTheme="minorHAnsi" w:hAnsiTheme="minorHAnsi" w:cs="Arial"/>
                <w:sz w:val="22"/>
                <w:szCs w:val="22"/>
                <w:shd w:val="clear" w:color="auto" w:fill="FFFFFF"/>
              </w:rPr>
              <w:t xml:space="preserve">The Federal Reserve Board has published the </w:t>
            </w:r>
            <w:hyperlink r:id="rId25" w:history="1">
              <w:r w:rsidRPr="001328C5">
                <w:rPr>
                  <w:rStyle w:val="Hyperlink"/>
                  <w:rFonts w:asciiTheme="minorHAnsi" w:hAnsiTheme="minorHAnsi" w:cs="Arial"/>
                  <w:sz w:val="22"/>
                  <w:szCs w:val="22"/>
                  <w:shd w:val="clear" w:color="auto" w:fill="FFFFFF"/>
                </w:rPr>
                <w:t>July 2017 summary</w:t>
              </w:r>
            </w:hyperlink>
            <w:r w:rsidRPr="001328C5">
              <w:rPr>
                <w:rFonts w:asciiTheme="minorHAnsi" w:hAnsiTheme="minorHAnsi" w:cs="Arial"/>
                <w:sz w:val="22"/>
                <w:szCs w:val="22"/>
                <w:shd w:val="clear" w:color="auto" w:fill="FFFFFF"/>
              </w:rPr>
              <w:t xml:space="preserve"> of commentary on current economic conditio</w:t>
            </w:r>
            <w:r>
              <w:rPr>
                <w:rFonts w:asciiTheme="minorHAnsi" w:hAnsiTheme="minorHAnsi" w:cs="Arial"/>
                <w:sz w:val="22"/>
                <w:szCs w:val="22"/>
                <w:shd w:val="clear" w:color="auto" w:fill="FFFFFF"/>
              </w:rPr>
              <w:t>ns by Federal Reserve district</w:t>
            </w:r>
            <w:r w:rsidRPr="001328C5">
              <w:rPr>
                <w:rFonts w:asciiTheme="minorHAnsi" w:hAnsiTheme="minorHAnsi" w:cs="Arial"/>
                <w:sz w:val="22"/>
                <w:szCs w:val="22"/>
                <w:shd w:val="clear" w:color="auto" w:fill="FFFFFF"/>
              </w:rPr>
              <w:t>. Each Federal Reserve Bank gathers anecdotal information on current economic conditions in its District through reports from Bank and Branch directors and interviews with key business contacts, economists, market experts, and other sources. The Beige Book summarizes this information by District and sector</w:t>
            </w:r>
          </w:p>
        </w:tc>
      </w:tr>
      <w:tr w:rsidR="00FF3D8B" w:rsidRPr="00967605" w:rsidTr="000C6F62">
        <w:tc>
          <w:tcPr>
            <w:tcW w:w="2283" w:type="dxa"/>
          </w:tcPr>
          <w:p w:rsidR="00FF3D8B" w:rsidRDefault="001328C5" w:rsidP="00413996">
            <w:r>
              <w:t>CMIR Address Change</w:t>
            </w:r>
          </w:p>
        </w:tc>
        <w:tc>
          <w:tcPr>
            <w:tcW w:w="10875" w:type="dxa"/>
          </w:tcPr>
          <w:p w:rsidR="00FF3D8B" w:rsidRDefault="001328C5" w:rsidP="001328C5">
            <w:pPr>
              <w:pStyle w:val="NormalWeb"/>
              <w:spacing w:after="0"/>
              <w:rPr>
                <w:rFonts w:asciiTheme="minorHAnsi" w:hAnsiTheme="minorHAnsi" w:cs="Arial"/>
                <w:sz w:val="22"/>
                <w:szCs w:val="22"/>
                <w:shd w:val="clear" w:color="auto" w:fill="FFFFFF"/>
              </w:rPr>
            </w:pPr>
            <w:r w:rsidRPr="001328C5">
              <w:rPr>
                <w:rFonts w:asciiTheme="minorHAnsi" w:hAnsiTheme="minorHAnsi" w:cs="Arial"/>
                <w:sz w:val="22"/>
                <w:szCs w:val="22"/>
                <w:shd w:val="clear" w:color="auto" w:fill="FFFFFF"/>
              </w:rPr>
              <w:t>The Financial Crimes Enforcement Network (FinCEN) is notifying filers that the Department of Homeland Security (DHS), Customs and Border Protection (CBP), has changed the mailing address for filing the Currency and Monetary Instrument Report (CMIR). Individuals and shippers and mailers that mail the report must use the following new address: Attn: CMIR</w:t>
            </w:r>
            <w:r>
              <w:rPr>
                <w:rFonts w:asciiTheme="minorHAnsi" w:hAnsiTheme="minorHAnsi" w:cs="Arial"/>
                <w:sz w:val="22"/>
                <w:szCs w:val="22"/>
                <w:shd w:val="clear" w:color="auto" w:fill="FFFFFF"/>
              </w:rPr>
              <w:t xml:space="preserve">, </w:t>
            </w:r>
            <w:r w:rsidRPr="001328C5">
              <w:rPr>
                <w:rFonts w:asciiTheme="minorHAnsi" w:hAnsiTheme="minorHAnsi" w:cs="Arial"/>
                <w:sz w:val="22"/>
                <w:szCs w:val="22"/>
                <w:shd w:val="clear" w:color="auto" w:fill="FFFFFF"/>
              </w:rPr>
              <w:t>Passenger Systems Program Directorate # 1256</w:t>
            </w:r>
            <w:r>
              <w:rPr>
                <w:rFonts w:asciiTheme="minorHAnsi" w:hAnsiTheme="minorHAnsi" w:cs="Arial"/>
                <w:sz w:val="22"/>
                <w:szCs w:val="22"/>
                <w:shd w:val="clear" w:color="auto" w:fill="FFFFFF"/>
              </w:rPr>
              <w:t xml:space="preserve">, </w:t>
            </w:r>
            <w:r w:rsidRPr="001328C5">
              <w:rPr>
                <w:rFonts w:asciiTheme="minorHAnsi" w:hAnsiTheme="minorHAnsi" w:cs="Arial"/>
                <w:sz w:val="22"/>
                <w:szCs w:val="22"/>
                <w:shd w:val="clear" w:color="auto" w:fill="FFFFFF"/>
              </w:rPr>
              <w:t>CBP</w:t>
            </w:r>
            <w:r>
              <w:rPr>
                <w:rFonts w:asciiTheme="minorHAnsi" w:hAnsiTheme="minorHAnsi" w:cs="Arial"/>
                <w:sz w:val="22"/>
                <w:szCs w:val="22"/>
                <w:shd w:val="clear" w:color="auto" w:fill="FFFFFF"/>
              </w:rPr>
              <w:t xml:space="preserve">, 7375 Boston Blvd., </w:t>
            </w:r>
            <w:r w:rsidRPr="001328C5">
              <w:rPr>
                <w:rFonts w:asciiTheme="minorHAnsi" w:hAnsiTheme="minorHAnsi" w:cs="Arial"/>
                <w:sz w:val="22"/>
                <w:szCs w:val="22"/>
                <w:shd w:val="clear" w:color="auto" w:fill="FFFFFF"/>
              </w:rPr>
              <w:t>DHS, VA  20598-1256</w:t>
            </w:r>
            <w:r>
              <w:rPr>
                <w:rFonts w:asciiTheme="minorHAnsi" w:hAnsiTheme="minorHAnsi" w:cs="Arial"/>
                <w:sz w:val="22"/>
                <w:szCs w:val="22"/>
                <w:shd w:val="clear" w:color="auto" w:fill="FFFFFF"/>
              </w:rPr>
              <w:t xml:space="preserve">.  </w:t>
            </w:r>
          </w:p>
        </w:tc>
      </w:tr>
      <w:tr w:rsidR="00FF3D8B" w:rsidRPr="00967605" w:rsidTr="000C6F62">
        <w:tc>
          <w:tcPr>
            <w:tcW w:w="2283" w:type="dxa"/>
          </w:tcPr>
          <w:p w:rsidR="00FF3D8B" w:rsidRDefault="00B1468E" w:rsidP="00413996">
            <w:r>
              <w:t>Home Depot Deadline</w:t>
            </w:r>
          </w:p>
        </w:tc>
        <w:tc>
          <w:tcPr>
            <w:tcW w:w="10875" w:type="dxa"/>
          </w:tcPr>
          <w:p w:rsidR="00FF3D8B" w:rsidRDefault="00B1468E" w:rsidP="00CC43EC">
            <w:pPr>
              <w:pStyle w:val="NormalWeb"/>
              <w:spacing w:after="0"/>
              <w:rPr>
                <w:rFonts w:asciiTheme="minorHAnsi" w:hAnsiTheme="minorHAnsi" w:cs="Arial"/>
                <w:sz w:val="22"/>
                <w:szCs w:val="22"/>
                <w:shd w:val="clear" w:color="auto" w:fill="FFFFFF"/>
              </w:rPr>
            </w:pPr>
            <w:r w:rsidRPr="00B1468E">
              <w:rPr>
                <w:rFonts w:asciiTheme="minorHAnsi" w:hAnsiTheme="minorHAnsi" w:cs="Arial"/>
                <w:sz w:val="22"/>
                <w:szCs w:val="22"/>
                <w:shd w:val="clear" w:color="auto" w:fill="FFFFFF"/>
              </w:rPr>
              <w:t xml:space="preserve">The deadline to file claims for payments under the Home Depot data breach is September 14.  </w:t>
            </w:r>
            <w:r w:rsidRPr="00B1468E">
              <w:rPr>
                <w:rFonts w:asciiTheme="minorHAnsi" w:hAnsiTheme="minorHAnsi" w:cstheme="minorHAnsi"/>
                <w:sz w:val="21"/>
                <w:szCs w:val="21"/>
                <w:shd w:val="clear" w:color="auto" w:fill="FFFFFF"/>
              </w:rPr>
              <w:t xml:space="preserve">A website is available for credit unions wishing to make a claim to a portion of the Home Depot data breach settlement fund. Credit unions can use the </w:t>
            </w:r>
            <w:hyperlink r:id="rId26" w:history="1">
              <w:r w:rsidRPr="00B1468E">
                <w:rPr>
                  <w:rStyle w:val="Hyperlink"/>
                  <w:rFonts w:asciiTheme="minorHAnsi" w:hAnsiTheme="minorHAnsi" w:cstheme="minorHAnsi"/>
                  <w:sz w:val="21"/>
                  <w:szCs w:val="21"/>
                  <w:shd w:val="clear" w:color="auto" w:fill="FFFFFF"/>
                </w:rPr>
                <w:t>site to file a claim </w:t>
              </w:r>
            </w:hyperlink>
            <w:r w:rsidRPr="00B1468E">
              <w:rPr>
                <w:rFonts w:asciiTheme="minorHAnsi" w:hAnsiTheme="minorHAnsi" w:cstheme="minorHAnsi"/>
                <w:sz w:val="21"/>
                <w:szCs w:val="21"/>
                <w:shd w:val="clear" w:color="auto" w:fill="FFFFFF"/>
              </w:rPr>
              <w:t>for part of the $25 million fund. Claims can be both to request a fixed payment estimated to be $2 per compromised card and to request an additional award of up to 60% of documented unreimbursed losses experienced between Sept. 1, 2014, and Dec. 31, 2014.</w:t>
            </w:r>
          </w:p>
        </w:tc>
      </w:tr>
      <w:tr w:rsidR="00FF3D8B" w:rsidRPr="00967605" w:rsidTr="000C6F62">
        <w:tc>
          <w:tcPr>
            <w:tcW w:w="2283" w:type="dxa"/>
          </w:tcPr>
          <w:p w:rsidR="00FF3D8B" w:rsidRDefault="00600018" w:rsidP="00413996">
            <w:r>
              <w:t>Executive Summary of TRID Amendments</w:t>
            </w:r>
          </w:p>
        </w:tc>
        <w:tc>
          <w:tcPr>
            <w:tcW w:w="10875" w:type="dxa"/>
          </w:tcPr>
          <w:p w:rsidR="00FF3D8B" w:rsidRDefault="00D06E2E" w:rsidP="00015DF3">
            <w:pPr>
              <w:pStyle w:val="NormalWeb"/>
              <w:spacing w:after="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CFPB </w:t>
            </w:r>
            <w:hyperlink r:id="rId27" w:history="1">
              <w:r w:rsidRPr="00D06E2E">
                <w:rPr>
                  <w:rStyle w:val="Hyperlink"/>
                  <w:rFonts w:asciiTheme="minorHAnsi" w:hAnsiTheme="minorHAnsi" w:cs="Arial"/>
                  <w:sz w:val="22"/>
                  <w:szCs w:val="22"/>
                  <w:shd w:val="clear" w:color="auto" w:fill="FFFFFF"/>
                </w:rPr>
                <w:t>Executive Summary</w:t>
              </w:r>
            </w:hyperlink>
            <w:r>
              <w:rPr>
                <w:rFonts w:asciiTheme="minorHAnsi" w:hAnsiTheme="minorHAnsi" w:cs="Arial"/>
                <w:sz w:val="22"/>
                <w:szCs w:val="22"/>
                <w:shd w:val="clear" w:color="auto" w:fill="FFFFFF"/>
              </w:rPr>
              <w:t xml:space="preserve"> of the TRID Amendments</w:t>
            </w:r>
          </w:p>
        </w:tc>
      </w:tr>
      <w:tr w:rsidR="00140848" w:rsidRPr="00967605" w:rsidTr="000C6F62">
        <w:tc>
          <w:tcPr>
            <w:tcW w:w="2283" w:type="dxa"/>
          </w:tcPr>
          <w:p w:rsidR="00140848" w:rsidRDefault="00F83CF7" w:rsidP="00413996">
            <w:r>
              <w:t>Pay by Phone Fees</w:t>
            </w:r>
          </w:p>
        </w:tc>
        <w:tc>
          <w:tcPr>
            <w:tcW w:w="10875" w:type="dxa"/>
          </w:tcPr>
          <w:p w:rsidR="00140848" w:rsidRPr="00015DF3" w:rsidRDefault="001B4818" w:rsidP="00015DF3">
            <w:pPr>
              <w:pStyle w:val="NormalWeb"/>
              <w:spacing w:after="0"/>
              <w:rPr>
                <w:rFonts w:asciiTheme="minorHAnsi" w:hAnsiTheme="minorHAnsi" w:cs="Arial"/>
                <w:sz w:val="22"/>
                <w:szCs w:val="22"/>
                <w:shd w:val="clear" w:color="auto" w:fill="FFFFFF"/>
              </w:rPr>
            </w:pPr>
            <w:r w:rsidRPr="001B4818">
              <w:rPr>
                <w:rFonts w:asciiTheme="minorHAnsi" w:hAnsiTheme="minorHAnsi" w:cs="Arial"/>
                <w:sz w:val="22"/>
                <w:szCs w:val="22"/>
                <w:shd w:val="clear" w:color="auto" w:fill="FFFFFF"/>
              </w:rPr>
              <w:t xml:space="preserve">On </w:t>
            </w:r>
            <w:proofErr w:type="gramStart"/>
            <w:r w:rsidRPr="001B4818">
              <w:rPr>
                <w:rFonts w:asciiTheme="minorHAnsi" w:hAnsiTheme="minorHAnsi" w:cs="Arial"/>
                <w:sz w:val="22"/>
                <w:szCs w:val="22"/>
                <w:shd w:val="clear" w:color="auto" w:fill="FFFFFF"/>
              </w:rPr>
              <w:t>July 27, 2017</w:t>
            </w:r>
            <w:proofErr w:type="gramEnd"/>
            <w:r w:rsidRPr="001B4818">
              <w:rPr>
                <w:rFonts w:asciiTheme="minorHAnsi" w:hAnsiTheme="minorHAnsi" w:cs="Arial"/>
                <w:sz w:val="22"/>
                <w:szCs w:val="22"/>
                <w:shd w:val="clear" w:color="auto" w:fill="FFFFFF"/>
              </w:rPr>
              <w:t xml:space="preserve"> the CFPB issued </w:t>
            </w:r>
            <w:hyperlink r:id="rId28" w:history="1">
              <w:r w:rsidRPr="00F83CF7">
                <w:rPr>
                  <w:rStyle w:val="Hyperlink"/>
                  <w:rFonts w:asciiTheme="minorHAnsi" w:hAnsiTheme="minorHAnsi" w:cs="Arial"/>
                  <w:sz w:val="22"/>
                  <w:szCs w:val="22"/>
                  <w:shd w:val="clear" w:color="auto" w:fill="FFFFFF"/>
                </w:rPr>
                <w:t>Compliance Bulletin 2017-01</w:t>
              </w:r>
            </w:hyperlink>
            <w:r w:rsidRPr="001B4818">
              <w:rPr>
                <w:rFonts w:asciiTheme="minorHAnsi" w:hAnsiTheme="minorHAnsi" w:cs="Arial"/>
                <w:sz w:val="22"/>
                <w:szCs w:val="22"/>
                <w:shd w:val="clear" w:color="auto" w:fill="FFFFFF"/>
              </w:rPr>
              <w:t>:  Phone Pay Fees, reminding companies that misleading consumers about fees associated with payments over the telephone may be deemed as UDAAP violations.</w:t>
            </w:r>
          </w:p>
        </w:tc>
      </w:tr>
      <w:tr w:rsidR="001B4818" w:rsidRPr="00967605" w:rsidTr="000C6F62">
        <w:tc>
          <w:tcPr>
            <w:tcW w:w="2283" w:type="dxa"/>
          </w:tcPr>
          <w:p w:rsidR="001B4818" w:rsidRDefault="001B4818" w:rsidP="00413996"/>
        </w:tc>
        <w:tc>
          <w:tcPr>
            <w:tcW w:w="10875" w:type="dxa"/>
          </w:tcPr>
          <w:p w:rsidR="001B4818" w:rsidRPr="00015DF3" w:rsidRDefault="001B4818" w:rsidP="00015DF3">
            <w:pPr>
              <w:pStyle w:val="NormalWeb"/>
              <w:spacing w:after="0"/>
              <w:rPr>
                <w:rFonts w:asciiTheme="minorHAnsi" w:hAnsiTheme="minorHAnsi" w:cs="Arial"/>
                <w:sz w:val="22"/>
                <w:szCs w:val="22"/>
                <w:shd w:val="clear" w:color="auto" w:fill="FFFFFF"/>
              </w:rPr>
            </w:pPr>
          </w:p>
        </w:tc>
      </w:tr>
    </w:tbl>
    <w:p w:rsidR="006A2918" w:rsidRDefault="006A2918" w:rsidP="00D1188B"/>
    <w:tbl>
      <w:tblPr>
        <w:tblStyle w:val="TableGrid"/>
        <w:tblW w:w="13078" w:type="dxa"/>
        <w:tblLook w:val="04A0" w:firstRow="1" w:lastRow="0" w:firstColumn="1" w:lastColumn="0" w:noHBand="0" w:noVBand="1"/>
      </w:tblPr>
      <w:tblGrid>
        <w:gridCol w:w="2172"/>
        <w:gridCol w:w="6545"/>
        <w:gridCol w:w="4361"/>
      </w:tblGrid>
      <w:tr w:rsidR="00F517EF" w:rsidTr="00F517EF">
        <w:trPr>
          <w:trHeight w:val="236"/>
        </w:trPr>
        <w:tc>
          <w:tcPr>
            <w:tcW w:w="13078" w:type="dxa"/>
            <w:gridSpan w:val="3"/>
            <w:shd w:val="clear" w:color="auto" w:fill="4F81BD" w:themeFill="accent1"/>
          </w:tcPr>
          <w:p w:rsidR="00F517EF" w:rsidRDefault="00F517EF" w:rsidP="006A2918">
            <w:pPr>
              <w:keepLines/>
              <w:jc w:val="center"/>
            </w:pPr>
            <w:r w:rsidRPr="003F6BB7">
              <w:rPr>
                <w:color w:val="FFFFFF" w:themeColor="background1"/>
              </w:rPr>
              <w:t>Oregon</w:t>
            </w:r>
          </w:p>
        </w:tc>
      </w:tr>
      <w:tr w:rsidR="00DB5E19" w:rsidTr="006A2918">
        <w:trPr>
          <w:trHeight w:val="944"/>
        </w:trPr>
        <w:tc>
          <w:tcPr>
            <w:tcW w:w="2172" w:type="dxa"/>
          </w:tcPr>
          <w:p w:rsidR="00DB5E19" w:rsidRDefault="00281928" w:rsidP="006A2918">
            <w:pPr>
              <w:keepLines/>
            </w:pPr>
            <w:hyperlink r:id="rId29" w:history="1">
              <w:r w:rsidR="00DB5E19" w:rsidRPr="00DB5E19">
                <w:rPr>
                  <w:rStyle w:val="Hyperlink"/>
                </w:rPr>
                <w:t>HB 2581</w:t>
              </w:r>
            </w:hyperlink>
          </w:p>
        </w:tc>
        <w:tc>
          <w:tcPr>
            <w:tcW w:w="6545" w:type="dxa"/>
          </w:tcPr>
          <w:p w:rsidR="00DB5E19" w:rsidRPr="006A2918" w:rsidRDefault="00DB5E19" w:rsidP="006A2918">
            <w:pPr>
              <w:keepLines/>
            </w:pPr>
            <w:r>
              <w:t>W</w:t>
            </w:r>
            <w:r w:rsidRPr="00DB5E19">
              <w:t>ould require a person that possesses or has access to account information to report breach of security to the financial institution that issued financial access device.  Person includes:  an individual, a private or public corporation, partnership, cooperative, association, estate, limited liability company, organization or other entity.</w:t>
            </w:r>
          </w:p>
        </w:tc>
        <w:tc>
          <w:tcPr>
            <w:tcW w:w="4361" w:type="dxa"/>
          </w:tcPr>
          <w:p w:rsidR="00C56584" w:rsidRDefault="00C56584" w:rsidP="006A2918">
            <w:pPr>
              <w:keepLines/>
            </w:pPr>
            <w:r>
              <w:t>Public hearing held (3/27)</w:t>
            </w:r>
          </w:p>
        </w:tc>
      </w:tr>
      <w:tr w:rsidR="006A2918" w:rsidTr="006A2918">
        <w:trPr>
          <w:trHeight w:val="944"/>
        </w:trPr>
        <w:tc>
          <w:tcPr>
            <w:tcW w:w="2172" w:type="dxa"/>
          </w:tcPr>
          <w:p w:rsidR="006A2918" w:rsidRDefault="00281928" w:rsidP="006A2918">
            <w:pPr>
              <w:keepLines/>
            </w:pPr>
            <w:hyperlink r:id="rId30" w:history="1">
              <w:r w:rsidR="006A2918" w:rsidRPr="006A2918">
                <w:rPr>
                  <w:rStyle w:val="Hyperlink"/>
                </w:rPr>
                <w:t>HB 2161</w:t>
              </w:r>
            </w:hyperlink>
          </w:p>
        </w:tc>
        <w:tc>
          <w:tcPr>
            <w:tcW w:w="6545" w:type="dxa"/>
          </w:tcPr>
          <w:p w:rsidR="006A2918" w:rsidRPr="000014AF" w:rsidRDefault="006A2918" w:rsidP="006A2918">
            <w:pPr>
              <w:keepLines/>
            </w:pPr>
            <w:r w:rsidRPr="006A2918">
              <w:t>Included in the Bill are a provision allowing the expulsion of a member that creates undue risk of loss, the elimination of the requirement that the credit union’s board of directors meets 10 times a year, and changes the date for exercise by state credit unions of powers available to federal credit unions without director approval to January 1, 2017, from January 1, 2013.</w:t>
            </w:r>
          </w:p>
        </w:tc>
        <w:tc>
          <w:tcPr>
            <w:tcW w:w="4361" w:type="dxa"/>
          </w:tcPr>
          <w:p w:rsidR="006A2918" w:rsidRPr="00562BB0" w:rsidRDefault="0044667C" w:rsidP="006A2918">
            <w:pPr>
              <w:keepLines/>
              <w:rPr>
                <w:b/>
              </w:rPr>
            </w:pPr>
            <w:r>
              <w:rPr>
                <w:b/>
              </w:rPr>
              <w:t>Enacted</w:t>
            </w:r>
            <w:r w:rsidR="00562BB0" w:rsidRPr="00562BB0">
              <w:rPr>
                <w:b/>
              </w:rPr>
              <w:t xml:space="preserve"> – Effective 01/01/2018</w:t>
            </w:r>
          </w:p>
        </w:tc>
      </w:tr>
      <w:tr w:rsidR="00F517EF" w:rsidTr="006A2918">
        <w:trPr>
          <w:trHeight w:val="944"/>
        </w:trPr>
        <w:tc>
          <w:tcPr>
            <w:tcW w:w="2172" w:type="dxa"/>
          </w:tcPr>
          <w:p w:rsidR="00F517EF" w:rsidRDefault="00281928" w:rsidP="006A2918">
            <w:pPr>
              <w:keepLines/>
            </w:pPr>
            <w:hyperlink r:id="rId31" w:history="1">
              <w:r w:rsidR="00F517EF" w:rsidRPr="000014AF">
                <w:rPr>
                  <w:rStyle w:val="Hyperlink"/>
                </w:rPr>
                <w:t>HB 2359</w:t>
              </w:r>
            </w:hyperlink>
          </w:p>
        </w:tc>
        <w:tc>
          <w:tcPr>
            <w:tcW w:w="6545" w:type="dxa"/>
          </w:tcPr>
          <w:p w:rsidR="00F517EF" w:rsidRDefault="00F517EF" w:rsidP="006A2918">
            <w:pPr>
              <w:keepLines/>
            </w:pPr>
            <w:r w:rsidRPr="000014AF">
              <w:t>Removes requirement for beneficiary in trust deed to send, and Attorney General to receive, copy of notice that beneficiary has denied grantor's eligibility for foreclosure avoidance measure.</w:t>
            </w:r>
          </w:p>
        </w:tc>
        <w:tc>
          <w:tcPr>
            <w:tcW w:w="4361" w:type="dxa"/>
          </w:tcPr>
          <w:p w:rsidR="00C56584" w:rsidRPr="0044667C" w:rsidRDefault="0044667C" w:rsidP="006A2918">
            <w:pPr>
              <w:keepLines/>
              <w:rPr>
                <w:b/>
              </w:rPr>
            </w:pPr>
            <w:r w:rsidRPr="0044667C">
              <w:rPr>
                <w:b/>
              </w:rPr>
              <w:t>Enacted</w:t>
            </w:r>
          </w:p>
        </w:tc>
      </w:tr>
      <w:tr w:rsidR="00F517EF" w:rsidTr="006A2918">
        <w:trPr>
          <w:trHeight w:val="236"/>
        </w:trPr>
        <w:tc>
          <w:tcPr>
            <w:tcW w:w="2172" w:type="dxa"/>
          </w:tcPr>
          <w:p w:rsidR="00F517EF" w:rsidRDefault="00281928" w:rsidP="006A2918">
            <w:pPr>
              <w:keepLines/>
            </w:pPr>
            <w:hyperlink r:id="rId32" w:history="1">
              <w:r w:rsidR="00F517EF" w:rsidRPr="000014AF">
                <w:rPr>
                  <w:rStyle w:val="Hyperlink"/>
                </w:rPr>
                <w:t>HB 2624</w:t>
              </w:r>
            </w:hyperlink>
          </w:p>
        </w:tc>
        <w:tc>
          <w:tcPr>
            <w:tcW w:w="6545" w:type="dxa"/>
          </w:tcPr>
          <w:p w:rsidR="00F517EF" w:rsidRDefault="00F517EF" w:rsidP="006A2918">
            <w:pPr>
              <w:keepLines/>
            </w:pPr>
            <w:r w:rsidRPr="000014AF">
              <w:t>Exempts out-of-state banks, extranational institutions and foreign associations from requirement to file notice before dealing in notes secured by mortgages or trust deeds, if authorized to conduct banking business in this state by certificate of Department of Consumer and Business Services.</w:t>
            </w:r>
          </w:p>
        </w:tc>
        <w:tc>
          <w:tcPr>
            <w:tcW w:w="4361" w:type="dxa"/>
          </w:tcPr>
          <w:p w:rsidR="00C56584" w:rsidRPr="0044667C" w:rsidRDefault="0044667C" w:rsidP="006A2918">
            <w:pPr>
              <w:keepLines/>
              <w:rPr>
                <w:b/>
              </w:rPr>
            </w:pPr>
            <w:r w:rsidRPr="0044667C">
              <w:rPr>
                <w:b/>
              </w:rPr>
              <w:t>Senate signed, House Speaker signed</w:t>
            </w:r>
          </w:p>
        </w:tc>
      </w:tr>
      <w:tr w:rsidR="00F517EF" w:rsidTr="006A2918">
        <w:trPr>
          <w:trHeight w:val="242"/>
        </w:trPr>
        <w:tc>
          <w:tcPr>
            <w:tcW w:w="2172" w:type="dxa"/>
          </w:tcPr>
          <w:p w:rsidR="00F517EF" w:rsidRDefault="00281928" w:rsidP="006A2918">
            <w:pPr>
              <w:keepLines/>
            </w:pPr>
            <w:hyperlink r:id="rId33" w:history="1">
              <w:r w:rsidR="00F517EF" w:rsidRPr="000014AF">
                <w:rPr>
                  <w:rStyle w:val="Hyperlink"/>
                </w:rPr>
                <w:t>HB 2622</w:t>
              </w:r>
            </w:hyperlink>
          </w:p>
        </w:tc>
        <w:tc>
          <w:tcPr>
            <w:tcW w:w="6545" w:type="dxa"/>
          </w:tcPr>
          <w:p w:rsidR="00F517EF" w:rsidRDefault="00F517EF" w:rsidP="006A2918">
            <w:pPr>
              <w:keepLines/>
            </w:pPr>
            <w:r w:rsidRPr="000014AF">
              <w:t>Authorizes financial institution to refuse certain financial transactions when financial institution reasonably believes financial exploitation of vulnerable person may have occurred, may have been attempted or is being attempted.</w:t>
            </w:r>
          </w:p>
        </w:tc>
        <w:tc>
          <w:tcPr>
            <w:tcW w:w="4361" w:type="dxa"/>
          </w:tcPr>
          <w:p w:rsidR="005958A6" w:rsidRDefault="00B67699" w:rsidP="006A2918">
            <w:pPr>
              <w:keepLines/>
            </w:pPr>
            <w:r>
              <w:rPr>
                <w:b/>
              </w:rPr>
              <w:t>Enacted – Effective 06/14/2017</w:t>
            </w:r>
          </w:p>
        </w:tc>
      </w:tr>
      <w:tr w:rsidR="00F517EF" w:rsidTr="006A2918">
        <w:trPr>
          <w:trHeight w:val="236"/>
        </w:trPr>
        <w:tc>
          <w:tcPr>
            <w:tcW w:w="2172" w:type="dxa"/>
          </w:tcPr>
          <w:p w:rsidR="00F517EF" w:rsidRDefault="00281928" w:rsidP="006A2918">
            <w:pPr>
              <w:keepLines/>
            </w:pPr>
            <w:hyperlink r:id="rId34" w:history="1">
              <w:r w:rsidR="00F517EF" w:rsidRPr="000014AF">
                <w:rPr>
                  <w:rStyle w:val="Hyperlink"/>
                </w:rPr>
                <w:t>HB 2229</w:t>
              </w:r>
            </w:hyperlink>
          </w:p>
        </w:tc>
        <w:tc>
          <w:tcPr>
            <w:tcW w:w="6545" w:type="dxa"/>
          </w:tcPr>
          <w:p w:rsidR="00F517EF" w:rsidRDefault="00F517EF" w:rsidP="006A2918">
            <w:pPr>
              <w:keepLines/>
            </w:pPr>
            <w:r w:rsidRPr="000014AF">
              <w:t>Requires school districts to offer instruction in financial literacy.</w:t>
            </w:r>
          </w:p>
        </w:tc>
        <w:tc>
          <w:tcPr>
            <w:tcW w:w="4361" w:type="dxa"/>
          </w:tcPr>
          <w:p w:rsidR="00C56584" w:rsidRPr="0044667C" w:rsidRDefault="0044667C" w:rsidP="006A2918">
            <w:pPr>
              <w:keepLines/>
              <w:rPr>
                <w:b/>
              </w:rPr>
            </w:pPr>
            <w:r w:rsidRPr="0044667C">
              <w:rPr>
                <w:b/>
              </w:rPr>
              <w:t>Enacted</w:t>
            </w:r>
          </w:p>
        </w:tc>
      </w:tr>
      <w:tr w:rsidR="00F517EF" w:rsidTr="006A2918">
        <w:trPr>
          <w:trHeight w:val="236"/>
        </w:trPr>
        <w:tc>
          <w:tcPr>
            <w:tcW w:w="2172" w:type="dxa"/>
          </w:tcPr>
          <w:p w:rsidR="00F517EF" w:rsidRDefault="00281928" w:rsidP="006A2918">
            <w:pPr>
              <w:keepLines/>
            </w:pPr>
            <w:hyperlink r:id="rId35" w:history="1">
              <w:r w:rsidR="00F517EF" w:rsidRPr="00B90741">
                <w:rPr>
                  <w:rStyle w:val="Hyperlink"/>
                </w:rPr>
                <w:t>HB 2346</w:t>
              </w:r>
            </w:hyperlink>
          </w:p>
        </w:tc>
        <w:tc>
          <w:tcPr>
            <w:tcW w:w="6545" w:type="dxa"/>
          </w:tcPr>
          <w:p w:rsidR="00F517EF" w:rsidRDefault="00F517EF" w:rsidP="006A2918">
            <w:pPr>
              <w:keepLines/>
            </w:pPr>
            <w:r w:rsidRPr="00B90741">
              <w:t>Directs insured institution or credit union to accept declaration rather than affidavit from Department of Human Services or Oregon Health Authority to pay claim on death of depositor.</w:t>
            </w:r>
          </w:p>
        </w:tc>
        <w:tc>
          <w:tcPr>
            <w:tcW w:w="4361" w:type="dxa"/>
          </w:tcPr>
          <w:p w:rsidR="00C56584" w:rsidRPr="0044667C" w:rsidRDefault="0044667C" w:rsidP="006A2918">
            <w:pPr>
              <w:keepLines/>
              <w:rPr>
                <w:b/>
              </w:rPr>
            </w:pPr>
            <w:r w:rsidRPr="0044667C">
              <w:rPr>
                <w:b/>
              </w:rPr>
              <w:t>Enacted – Effective 01/01/2018</w:t>
            </w:r>
          </w:p>
        </w:tc>
      </w:tr>
      <w:tr w:rsidR="00B975E7" w:rsidTr="006A2918">
        <w:trPr>
          <w:trHeight w:val="236"/>
        </w:trPr>
        <w:tc>
          <w:tcPr>
            <w:tcW w:w="2172" w:type="dxa"/>
          </w:tcPr>
          <w:p w:rsidR="00B975E7" w:rsidRDefault="00281928" w:rsidP="006A2918">
            <w:pPr>
              <w:keepLines/>
            </w:pPr>
            <w:hyperlink r:id="rId36" w:history="1">
              <w:r w:rsidR="00B975E7" w:rsidRPr="00B975E7">
                <w:rPr>
                  <w:rStyle w:val="Hyperlink"/>
                </w:rPr>
                <w:t>SB 113</w:t>
              </w:r>
            </w:hyperlink>
          </w:p>
        </w:tc>
        <w:tc>
          <w:tcPr>
            <w:tcW w:w="6545" w:type="dxa"/>
          </w:tcPr>
          <w:p w:rsidR="00B975E7" w:rsidRPr="00B975E7" w:rsidRDefault="00B975E7" w:rsidP="006A2918">
            <w:pPr>
              <w:keepLines/>
            </w:pPr>
            <w:r w:rsidRPr="00B975E7">
              <w:t>Provides that person identified in gift card as providing goods or services shall transfer to Department of State Lands remaining balance of gift card that cardholder has not used within five years after date of last transaction that used gift card for purchase.</w:t>
            </w:r>
          </w:p>
        </w:tc>
        <w:tc>
          <w:tcPr>
            <w:tcW w:w="4361" w:type="dxa"/>
          </w:tcPr>
          <w:p w:rsidR="00B975E7" w:rsidRPr="0044667C" w:rsidRDefault="00C56584" w:rsidP="006A2918">
            <w:pPr>
              <w:keepLines/>
              <w:rPr>
                <w:b/>
              </w:rPr>
            </w:pPr>
            <w:r w:rsidRPr="0044667C">
              <w:rPr>
                <w:b/>
              </w:rPr>
              <w:t>Referred to General Government and Accountability (1/17)</w:t>
            </w:r>
          </w:p>
        </w:tc>
      </w:tr>
      <w:tr w:rsidR="00B975E7" w:rsidTr="006A2918">
        <w:trPr>
          <w:trHeight w:val="236"/>
        </w:trPr>
        <w:tc>
          <w:tcPr>
            <w:tcW w:w="2172" w:type="dxa"/>
          </w:tcPr>
          <w:p w:rsidR="00B975E7" w:rsidRDefault="00281928" w:rsidP="006A2918">
            <w:pPr>
              <w:keepLines/>
            </w:pPr>
            <w:hyperlink r:id="rId37" w:history="1">
              <w:r w:rsidR="00B975E7" w:rsidRPr="00B975E7">
                <w:rPr>
                  <w:rStyle w:val="Hyperlink"/>
                </w:rPr>
                <w:t>SB 254</w:t>
              </w:r>
            </w:hyperlink>
          </w:p>
        </w:tc>
        <w:tc>
          <w:tcPr>
            <w:tcW w:w="6545" w:type="dxa"/>
          </w:tcPr>
          <w:p w:rsidR="00B975E7" w:rsidRPr="00B90741" w:rsidRDefault="00B975E7" w:rsidP="006A2918">
            <w:pPr>
              <w:keepLines/>
            </w:pPr>
            <w:r w:rsidRPr="00B975E7">
              <w:t>Requires financial institutions to participate in data match system established by Department of Revenue to identify assets held at financial institutions by delinquent debtors.</w:t>
            </w:r>
          </w:p>
        </w:tc>
        <w:tc>
          <w:tcPr>
            <w:tcW w:w="4361" w:type="dxa"/>
          </w:tcPr>
          <w:p w:rsidR="00B975E7" w:rsidRPr="0044667C" w:rsidRDefault="00B67699" w:rsidP="006A2918">
            <w:pPr>
              <w:keepLines/>
              <w:rPr>
                <w:b/>
              </w:rPr>
            </w:pPr>
            <w:r>
              <w:rPr>
                <w:b/>
              </w:rPr>
              <w:t>On Governor’s desk awaiting signing</w:t>
            </w:r>
          </w:p>
        </w:tc>
      </w:tr>
      <w:tr w:rsidR="00F517EF" w:rsidTr="00F517EF">
        <w:trPr>
          <w:trHeight w:val="236"/>
        </w:trPr>
        <w:tc>
          <w:tcPr>
            <w:tcW w:w="13078" w:type="dxa"/>
            <w:gridSpan w:val="3"/>
            <w:shd w:val="clear" w:color="auto" w:fill="4F81BD" w:themeFill="accent1"/>
          </w:tcPr>
          <w:p w:rsidR="00F517EF" w:rsidRDefault="00F517EF" w:rsidP="006A2918">
            <w:pPr>
              <w:keepLines/>
              <w:jc w:val="center"/>
            </w:pPr>
            <w:r w:rsidRPr="007F4DB2">
              <w:rPr>
                <w:color w:val="FFFFFF" w:themeColor="background1"/>
              </w:rPr>
              <w:t>Washington</w:t>
            </w:r>
          </w:p>
        </w:tc>
      </w:tr>
      <w:tr w:rsidR="00F517EF" w:rsidTr="006A2918">
        <w:trPr>
          <w:trHeight w:val="236"/>
        </w:trPr>
        <w:tc>
          <w:tcPr>
            <w:tcW w:w="2172" w:type="dxa"/>
          </w:tcPr>
          <w:p w:rsidR="00F517EF" w:rsidRDefault="00281928" w:rsidP="006A2918">
            <w:pPr>
              <w:keepLines/>
            </w:pPr>
            <w:hyperlink r:id="rId38" w:history="1">
              <w:r w:rsidR="00F517EF" w:rsidRPr="007F4DB2">
                <w:rPr>
                  <w:rStyle w:val="Hyperlink"/>
                </w:rPr>
                <w:t>HB 1209</w:t>
              </w:r>
            </w:hyperlink>
          </w:p>
          <w:p w:rsidR="00F517EF" w:rsidRDefault="00F517EF" w:rsidP="006A2918">
            <w:pPr>
              <w:keepLines/>
            </w:pPr>
            <w:r>
              <w:t>SB 5396</w:t>
            </w:r>
          </w:p>
        </w:tc>
        <w:tc>
          <w:tcPr>
            <w:tcW w:w="6545" w:type="dxa"/>
          </w:tcPr>
          <w:p w:rsidR="00F517EF" w:rsidRDefault="00F517EF" w:rsidP="006A2918">
            <w:pPr>
              <w:keepLines/>
            </w:pPr>
            <w:r>
              <w:t>Allow credit unions to accept public deposits that exceed the maximum deposit insured by the NCUA share insurance fund.</w:t>
            </w:r>
          </w:p>
        </w:tc>
        <w:tc>
          <w:tcPr>
            <w:tcW w:w="4361" w:type="dxa"/>
          </w:tcPr>
          <w:p w:rsidR="00F517EF" w:rsidRPr="00B67699" w:rsidRDefault="00980B64" w:rsidP="006A2918">
            <w:pPr>
              <w:keepLines/>
              <w:rPr>
                <w:b/>
              </w:rPr>
            </w:pPr>
            <w:r w:rsidRPr="00B67699">
              <w:rPr>
                <w:b/>
              </w:rPr>
              <w:t xml:space="preserve">SHB </w:t>
            </w:r>
            <w:r w:rsidR="00F517EF" w:rsidRPr="00B67699">
              <w:rPr>
                <w:b/>
              </w:rPr>
              <w:t>Passed House</w:t>
            </w:r>
          </w:p>
          <w:p w:rsidR="00F517EF" w:rsidRDefault="00C56584" w:rsidP="006A2918">
            <w:pPr>
              <w:keepLines/>
            </w:pPr>
            <w:r w:rsidRPr="00B67699">
              <w:rPr>
                <w:b/>
              </w:rPr>
              <w:t>Reintroduced in</w:t>
            </w:r>
            <w:r w:rsidR="00B67699" w:rsidRPr="00B67699">
              <w:rPr>
                <w:b/>
              </w:rPr>
              <w:t xml:space="preserve"> 3</w:t>
            </w:r>
            <w:proofErr w:type="gramStart"/>
            <w:r w:rsidR="00B67699" w:rsidRPr="00B67699">
              <w:rPr>
                <w:b/>
                <w:vertAlign w:val="superscript"/>
              </w:rPr>
              <w:t>rd</w:t>
            </w:r>
            <w:r w:rsidR="00B67699" w:rsidRPr="00B67699">
              <w:rPr>
                <w:b/>
              </w:rPr>
              <w:t xml:space="preserve">  special</w:t>
            </w:r>
            <w:proofErr w:type="gramEnd"/>
            <w:r w:rsidR="00B67699" w:rsidRPr="00B67699">
              <w:rPr>
                <w:b/>
              </w:rPr>
              <w:t xml:space="preserve"> session (06/21)</w:t>
            </w:r>
          </w:p>
        </w:tc>
      </w:tr>
      <w:tr w:rsidR="00F517EF" w:rsidTr="006A2918">
        <w:trPr>
          <w:trHeight w:val="236"/>
        </w:trPr>
        <w:tc>
          <w:tcPr>
            <w:tcW w:w="2172" w:type="dxa"/>
          </w:tcPr>
          <w:p w:rsidR="00F517EF" w:rsidRDefault="00281928" w:rsidP="006A2918">
            <w:pPr>
              <w:keepLines/>
            </w:pPr>
            <w:hyperlink r:id="rId39" w:history="1">
              <w:r w:rsidR="00F517EF" w:rsidRPr="007F4DB2">
                <w:rPr>
                  <w:rStyle w:val="Hyperlink"/>
                </w:rPr>
                <w:t>HB 1318</w:t>
              </w:r>
            </w:hyperlink>
          </w:p>
        </w:tc>
        <w:tc>
          <w:tcPr>
            <w:tcW w:w="6545" w:type="dxa"/>
          </w:tcPr>
          <w:p w:rsidR="00F517EF" w:rsidRPr="00980B64" w:rsidRDefault="00F517EF" w:rsidP="006A2918">
            <w:pPr>
              <w:keepLines/>
              <w:rPr>
                <w:strike/>
              </w:rPr>
            </w:pPr>
            <w:r w:rsidRPr="00980B64">
              <w:rPr>
                <w:strike/>
              </w:rPr>
              <w:t xml:space="preserve">Allow state-chartered credit unions to accept supplemental capital to build net worth.  </w:t>
            </w:r>
          </w:p>
        </w:tc>
        <w:tc>
          <w:tcPr>
            <w:tcW w:w="4361" w:type="dxa"/>
          </w:tcPr>
          <w:p w:rsidR="00F517EF" w:rsidRPr="00AE3001" w:rsidRDefault="00F517EF" w:rsidP="006A2918">
            <w:pPr>
              <w:keepLines/>
              <w:rPr>
                <w:strike/>
              </w:rPr>
            </w:pPr>
            <w:r w:rsidRPr="00AE3001">
              <w:rPr>
                <w:strike/>
              </w:rPr>
              <w:t>In House Committee</w:t>
            </w:r>
            <w:r w:rsidR="00980B64" w:rsidRPr="00AE3001">
              <w:rPr>
                <w:strike/>
              </w:rPr>
              <w:t xml:space="preserve"> </w:t>
            </w:r>
          </w:p>
        </w:tc>
      </w:tr>
      <w:tr w:rsidR="00F517EF" w:rsidTr="006A2918">
        <w:trPr>
          <w:trHeight w:val="236"/>
        </w:trPr>
        <w:tc>
          <w:tcPr>
            <w:tcW w:w="2172" w:type="dxa"/>
          </w:tcPr>
          <w:p w:rsidR="00F517EF" w:rsidRDefault="00281928" w:rsidP="006A2918">
            <w:pPr>
              <w:keepLines/>
            </w:pPr>
            <w:hyperlink r:id="rId40" w:history="1">
              <w:r w:rsidR="00992B33" w:rsidRPr="00012AE5">
                <w:rPr>
                  <w:rStyle w:val="Hyperlink"/>
                </w:rPr>
                <w:t>SSB 5031</w:t>
              </w:r>
            </w:hyperlink>
          </w:p>
        </w:tc>
        <w:tc>
          <w:tcPr>
            <w:tcW w:w="6545" w:type="dxa"/>
          </w:tcPr>
          <w:p w:rsidR="00F517EF" w:rsidRDefault="00182997" w:rsidP="006A2918">
            <w:pPr>
              <w:keepLines/>
            </w:pPr>
            <w:r>
              <w:t>Brings virtual currency under the state’s Uniform Money Services Act</w:t>
            </w:r>
          </w:p>
        </w:tc>
        <w:tc>
          <w:tcPr>
            <w:tcW w:w="4361" w:type="dxa"/>
          </w:tcPr>
          <w:p w:rsidR="00F517EF" w:rsidRPr="00B67699" w:rsidRDefault="00182997" w:rsidP="006A2918">
            <w:pPr>
              <w:keepLines/>
              <w:rPr>
                <w:b/>
              </w:rPr>
            </w:pPr>
            <w:r w:rsidRPr="00B67699">
              <w:rPr>
                <w:b/>
              </w:rPr>
              <w:t>Enacted – Effective 7/23/17</w:t>
            </w:r>
          </w:p>
        </w:tc>
      </w:tr>
      <w:tr w:rsidR="00F517EF" w:rsidTr="006A2918">
        <w:trPr>
          <w:trHeight w:val="236"/>
        </w:trPr>
        <w:tc>
          <w:tcPr>
            <w:tcW w:w="2172" w:type="dxa"/>
          </w:tcPr>
          <w:p w:rsidR="00F517EF" w:rsidRDefault="00281928" w:rsidP="006A2918">
            <w:pPr>
              <w:keepLines/>
            </w:pPr>
            <w:hyperlink r:id="rId41" w:history="1">
              <w:r w:rsidR="00495CD2" w:rsidRPr="00495CD2">
                <w:rPr>
                  <w:rStyle w:val="Hyperlink"/>
                </w:rPr>
                <w:t>SB 5144</w:t>
              </w:r>
            </w:hyperlink>
          </w:p>
        </w:tc>
        <w:tc>
          <w:tcPr>
            <w:tcW w:w="6545" w:type="dxa"/>
          </w:tcPr>
          <w:p w:rsidR="00F517EF" w:rsidRDefault="0035707A" w:rsidP="006A2918">
            <w:pPr>
              <w:keepLines/>
            </w:pPr>
            <w:r>
              <w:t>Updates the Washington Credit Union Act.  Corrects the use of “director” in the rule’s text, removes reference to membership shares, amends rules for special membership meetings, and adds new provisions to supervisory committee roles.</w:t>
            </w:r>
          </w:p>
        </w:tc>
        <w:tc>
          <w:tcPr>
            <w:tcW w:w="4361" w:type="dxa"/>
          </w:tcPr>
          <w:p w:rsidR="00F517EF" w:rsidRPr="00B67699" w:rsidRDefault="0035707A" w:rsidP="006A2918">
            <w:pPr>
              <w:keepLines/>
              <w:rPr>
                <w:b/>
              </w:rPr>
            </w:pPr>
            <w:r w:rsidRPr="00B67699">
              <w:rPr>
                <w:b/>
              </w:rPr>
              <w:t>Enacted – Effective 07/23/17</w:t>
            </w:r>
          </w:p>
        </w:tc>
      </w:tr>
      <w:tr w:rsidR="0035707A" w:rsidTr="006A2918">
        <w:trPr>
          <w:trHeight w:val="236"/>
        </w:trPr>
        <w:tc>
          <w:tcPr>
            <w:tcW w:w="2172" w:type="dxa"/>
          </w:tcPr>
          <w:p w:rsidR="0035707A" w:rsidRDefault="00281928" w:rsidP="0035707A">
            <w:pPr>
              <w:keepLines/>
            </w:pPr>
            <w:hyperlink r:id="rId42" w:history="1">
              <w:r w:rsidR="0035707A" w:rsidRPr="0035707A">
                <w:rPr>
                  <w:rStyle w:val="Hyperlink"/>
                </w:rPr>
                <w:t>SB 5081</w:t>
              </w:r>
            </w:hyperlink>
          </w:p>
        </w:tc>
        <w:tc>
          <w:tcPr>
            <w:tcW w:w="6545" w:type="dxa"/>
          </w:tcPr>
          <w:p w:rsidR="0035707A" w:rsidRDefault="0035707A" w:rsidP="0035707A">
            <w:pPr>
              <w:keepLines/>
            </w:pPr>
            <w:r w:rsidRPr="00494DA3">
              <w:t xml:space="preserve">Washington State passed Substitute Senate Bill 5081, dealing with notarial acts.  The bill adopts (mostly) the Revised Uniform Law on Notarial Acts (RULONA).  Included in the bill is a provision for electronic notaries.  </w:t>
            </w:r>
          </w:p>
        </w:tc>
        <w:tc>
          <w:tcPr>
            <w:tcW w:w="4361" w:type="dxa"/>
          </w:tcPr>
          <w:p w:rsidR="0035707A" w:rsidRPr="00B67699" w:rsidRDefault="0035707A" w:rsidP="0035707A">
            <w:pPr>
              <w:keepLines/>
              <w:rPr>
                <w:b/>
              </w:rPr>
            </w:pPr>
            <w:r w:rsidRPr="00B67699">
              <w:rPr>
                <w:b/>
              </w:rPr>
              <w:t>Enacted – Effective 07/01/18</w:t>
            </w:r>
          </w:p>
        </w:tc>
      </w:tr>
      <w:tr w:rsidR="0035707A" w:rsidTr="006A2918">
        <w:trPr>
          <w:trHeight w:val="236"/>
        </w:trPr>
        <w:tc>
          <w:tcPr>
            <w:tcW w:w="2172" w:type="dxa"/>
          </w:tcPr>
          <w:p w:rsidR="0035707A" w:rsidRDefault="00281928" w:rsidP="0035707A">
            <w:pPr>
              <w:keepLines/>
            </w:pPr>
            <w:hyperlink r:id="rId43" w:history="1">
              <w:r w:rsidR="0035707A" w:rsidRPr="0035707A">
                <w:rPr>
                  <w:rStyle w:val="Hyperlink"/>
                </w:rPr>
                <w:t>SB 5343</w:t>
              </w:r>
            </w:hyperlink>
          </w:p>
        </w:tc>
        <w:tc>
          <w:tcPr>
            <w:tcW w:w="6545" w:type="dxa"/>
          </w:tcPr>
          <w:p w:rsidR="0035707A" w:rsidRDefault="0035707A" w:rsidP="0035707A">
            <w:pPr>
              <w:keepLines/>
            </w:pPr>
            <w:r>
              <w:t>Towing companies can now use first class mail to send impound notices, rather than certified, to registered and legal owners of impounded vehicles</w:t>
            </w:r>
          </w:p>
        </w:tc>
        <w:tc>
          <w:tcPr>
            <w:tcW w:w="4361" w:type="dxa"/>
          </w:tcPr>
          <w:p w:rsidR="0035707A" w:rsidRPr="00B67699" w:rsidRDefault="0035707A" w:rsidP="0035707A">
            <w:pPr>
              <w:keepLines/>
              <w:rPr>
                <w:b/>
              </w:rPr>
            </w:pPr>
            <w:r w:rsidRPr="00B67699">
              <w:rPr>
                <w:b/>
              </w:rPr>
              <w:t>Enacted – 07/23/17</w:t>
            </w:r>
          </w:p>
        </w:tc>
      </w:tr>
      <w:tr w:rsidR="0035707A" w:rsidTr="006A2918">
        <w:trPr>
          <w:trHeight w:val="236"/>
        </w:trPr>
        <w:tc>
          <w:tcPr>
            <w:tcW w:w="2172" w:type="dxa"/>
          </w:tcPr>
          <w:p w:rsidR="0035707A" w:rsidRDefault="0035707A" w:rsidP="0035707A">
            <w:pPr>
              <w:keepLines/>
            </w:pPr>
          </w:p>
        </w:tc>
        <w:tc>
          <w:tcPr>
            <w:tcW w:w="6545" w:type="dxa"/>
          </w:tcPr>
          <w:p w:rsidR="0035707A" w:rsidRDefault="0035707A" w:rsidP="0035707A">
            <w:pPr>
              <w:keepLines/>
            </w:pPr>
          </w:p>
        </w:tc>
        <w:tc>
          <w:tcPr>
            <w:tcW w:w="4361" w:type="dxa"/>
          </w:tcPr>
          <w:p w:rsidR="0035707A" w:rsidRDefault="0035707A" w:rsidP="0035707A">
            <w:pPr>
              <w:keepLines/>
            </w:pPr>
          </w:p>
        </w:tc>
      </w:tr>
    </w:tbl>
    <w:p w:rsidR="00F517EF" w:rsidRDefault="00F517EF" w:rsidP="00D1188B"/>
    <w:p w:rsidR="003C29B7" w:rsidRPr="00E31C1A" w:rsidRDefault="00013BF9" w:rsidP="00D830AA">
      <w:pPr>
        <w:rPr>
          <w:b/>
          <w:color w:val="FF0000"/>
          <w:sz w:val="28"/>
          <w:szCs w:val="28"/>
        </w:rPr>
      </w:pPr>
      <w:r w:rsidRPr="00013BF9">
        <w:rPr>
          <w:b/>
          <w:sz w:val="28"/>
          <w:szCs w:val="28"/>
        </w:rPr>
        <w:t>IMPORTANT DATES</w:t>
      </w:r>
      <w:r w:rsidR="00F83CF7">
        <w:rPr>
          <w:b/>
          <w:sz w:val="28"/>
          <w:szCs w:val="28"/>
        </w:rPr>
        <w:t xml:space="preserve"> </w:t>
      </w:r>
      <w:bookmarkStart w:id="0" w:name="_GoBack"/>
      <w:bookmarkEnd w:id="0"/>
    </w:p>
    <w:p w:rsidR="00225F57" w:rsidRDefault="00B2494D" w:rsidP="00D830AA">
      <w:r w:rsidRPr="00B2494D">
        <w:rPr>
          <w:b/>
        </w:rPr>
        <w:t>Call Report due dates for 2017</w:t>
      </w:r>
      <w:r>
        <w:t xml:space="preserve">:  January 29, April 30, July 30, and October 29 (the last Sunday of the month following the quarter end).  </w:t>
      </w:r>
    </w:p>
    <w:p w:rsidR="003C29B7" w:rsidRDefault="003C29B7" w:rsidP="00D830AA">
      <w:r w:rsidRPr="003C29B7">
        <w:rPr>
          <w:b/>
        </w:rPr>
        <w:t>Military Lending Act</w:t>
      </w:r>
      <w:r>
        <w:t xml:space="preserve"> applies to credit cards:  October 3, 2017</w:t>
      </w:r>
    </w:p>
    <w:p w:rsidR="001B4818" w:rsidRDefault="001B4818" w:rsidP="001B4818">
      <w:hyperlink r:id="rId44" w:history="1">
        <w:r w:rsidRPr="001B4818">
          <w:rPr>
            <w:rStyle w:val="Hyperlink"/>
          </w:rPr>
          <w:t>W-2 &amp; 1099 Filing</w:t>
        </w:r>
      </w:hyperlink>
      <w:r>
        <w:t xml:space="preserve">:  </w:t>
      </w:r>
      <w:r>
        <w:t xml:space="preserve">The Internal Revenue Service has published [82 FR 33441] final and temporary rules effective immediately affecting the due dates for submission of certain information returns. Among the changes are a new due date of January 31 for information returns in the </w:t>
      </w:r>
      <w:r>
        <w:t xml:space="preserve">W-2 series and Forms 1099-MISC.  </w:t>
      </w:r>
      <w:r>
        <w:t>The changed deadlines are meant to reduce the IRS’s exposure to paying tax refunds early each year before it has the information returns to confirm alleged income and withholding amounts on fraudulent tax returns.</w:t>
      </w:r>
    </w:p>
    <w:p w:rsidR="000F5081" w:rsidRDefault="00B95B4E">
      <w:pPr>
        <w:rPr>
          <w:b/>
          <w:sz w:val="28"/>
          <w:szCs w:val="28"/>
        </w:rPr>
      </w:pPr>
      <w:r w:rsidRPr="00B95B4E">
        <w:rPr>
          <w:b/>
          <w:sz w:val="28"/>
          <w:szCs w:val="28"/>
        </w:rPr>
        <w:t>COMPLIANCE MALPRACTICE AND OTHER STUFF</w:t>
      </w:r>
    </w:p>
    <w:p w:rsidR="00766A8A" w:rsidRPr="00766A8A" w:rsidRDefault="00766A8A">
      <w:r w:rsidRPr="00766A8A">
        <w:t xml:space="preserve">On July 26, FinCEN, in coordination with the U.S. Attorney’s Office for the </w:t>
      </w:r>
      <w:r>
        <w:t>Northern District of California</w:t>
      </w:r>
      <w:r w:rsidRPr="00766A8A">
        <w:t>, assessed a $110,003,314 civil money penalty against BTC-e a/k/a Canton Business Corporation for willfully</w:t>
      </w:r>
      <w:r>
        <w:t xml:space="preserve"> violating the Bank Secrecy Act</w:t>
      </w:r>
      <w:r w:rsidRPr="00766A8A">
        <w:t xml:space="preserve">, and a $12 million penalty against Alexander </w:t>
      </w:r>
      <w:proofErr w:type="spellStart"/>
      <w:r w:rsidRPr="00766A8A">
        <w:t>Vinnik</w:t>
      </w:r>
      <w:proofErr w:type="spellEnd"/>
      <w:r w:rsidRPr="00766A8A">
        <w:t xml:space="preserve">, a Russian national who is one of the alleged operators of BTC-e, for his role in the violations.  FinCEN’s press release indicates that this is the first enforcement action it has taken against a foreign-located money services business doing business in the United States.  FinCEN released </w:t>
      </w:r>
      <w:r w:rsidRPr="00766A8A">
        <w:lastRenderedPageBreak/>
        <w:t>interpretive guidance in March 2013 stating that an administrator or exchanger of virtual currency is an MSB under the BSA unless a limitation or exemption applies.</w:t>
      </w:r>
    </w:p>
    <w:p w:rsidR="00E51E01" w:rsidRDefault="00E51E01">
      <w:pPr>
        <w:rPr>
          <w:b/>
          <w:sz w:val="28"/>
          <w:szCs w:val="28"/>
        </w:rPr>
      </w:pPr>
      <w:r>
        <w:rPr>
          <w:b/>
          <w:sz w:val="28"/>
          <w:szCs w:val="28"/>
        </w:rPr>
        <w:t>CRYSTAL BALL</w:t>
      </w:r>
    </w:p>
    <w:p w:rsidR="00E51E01" w:rsidRDefault="00E51E01">
      <w:r>
        <w:t>The CFPB</w:t>
      </w:r>
      <w:r w:rsidR="005F7105">
        <w:t xml:space="preserve"> is expected to release a rule regulating payday lenders this fall, in advance of the possible departure of Director Cordray.</w:t>
      </w:r>
    </w:p>
    <w:p w:rsidR="001B4818" w:rsidRPr="001B4818" w:rsidRDefault="001B4818">
      <w:pPr>
        <w:rPr>
          <w:b/>
          <w:sz w:val="28"/>
          <w:szCs w:val="28"/>
        </w:rPr>
      </w:pPr>
      <w:r w:rsidRPr="001B4818">
        <w:rPr>
          <w:b/>
          <w:sz w:val="28"/>
          <w:szCs w:val="28"/>
        </w:rPr>
        <w:t>OPPORTUNITIES(?)</w:t>
      </w:r>
    </w:p>
    <w:p w:rsidR="001B4818" w:rsidRPr="00766A8A" w:rsidRDefault="001B4818" w:rsidP="001B4818">
      <w:pPr>
        <w:rPr>
          <w:i/>
        </w:rPr>
      </w:pPr>
      <w:r w:rsidRPr="0018553E">
        <w:t>The Treasur</w:t>
      </w:r>
      <w:r>
        <w:t>y Department announced on July 28</w:t>
      </w:r>
      <w:r w:rsidRPr="0018553E">
        <w:t xml:space="preserve"> that it will start winding down its </w:t>
      </w:r>
      <w:proofErr w:type="spellStart"/>
      <w:r w:rsidRPr="0018553E">
        <w:t>myRA</w:t>
      </w:r>
      <w:proofErr w:type="spellEnd"/>
      <w:r w:rsidRPr="0018553E">
        <w:t xml:space="preserve"> program after a review determined that the program, created to help lower income earners start saving for retirement, was not cost effective. Nearly $70 million has been spent to manage the program since 2014, and participation has been extremely low. Participants will be notified and advised to move their </w:t>
      </w:r>
      <w:proofErr w:type="spellStart"/>
      <w:r w:rsidRPr="0018553E">
        <w:t>myRA</w:t>
      </w:r>
      <w:proofErr w:type="spellEnd"/>
      <w:r w:rsidRPr="0018553E">
        <w:t xml:space="preserve"> funds to private sector retirement options.</w:t>
      </w:r>
      <w:r>
        <w:t xml:space="preserve">  </w:t>
      </w:r>
      <w:r>
        <w:rPr>
          <w:i/>
        </w:rPr>
        <w:t>Marketing opportunity?</w:t>
      </w:r>
    </w:p>
    <w:p w:rsidR="001B4818" w:rsidRPr="00E51E01" w:rsidRDefault="001B4818"/>
    <w:p w:rsidR="00CA1ADD" w:rsidRDefault="00CA1ADD">
      <w:pPr>
        <w:rPr>
          <w:b/>
          <w:sz w:val="28"/>
          <w:szCs w:val="28"/>
        </w:rPr>
      </w:pPr>
      <w:r w:rsidRPr="00CA1ADD">
        <w:rPr>
          <w:b/>
          <w:sz w:val="28"/>
          <w:szCs w:val="28"/>
        </w:rPr>
        <w:t>INTERESTING READS</w:t>
      </w:r>
      <w:r w:rsidR="00023584">
        <w:rPr>
          <w:b/>
          <w:sz w:val="28"/>
          <w:szCs w:val="28"/>
        </w:rPr>
        <w:t xml:space="preserve"> (what’s on my nightstand)</w:t>
      </w:r>
    </w:p>
    <w:p w:rsidR="0052297A" w:rsidRDefault="0052297A" w:rsidP="0052297A"/>
    <w:p w:rsidR="00305385" w:rsidRDefault="00305385" w:rsidP="0052297A"/>
    <w:p w:rsidR="00305385" w:rsidRDefault="00305385" w:rsidP="0052297A"/>
    <w:p w:rsidR="00305385" w:rsidRDefault="00305385" w:rsidP="0052297A"/>
    <w:p w:rsidR="000B58B1" w:rsidRDefault="000B58B1">
      <w:r>
        <w:br w:type="page"/>
      </w:r>
    </w:p>
    <w:p w:rsidR="006356B1" w:rsidRDefault="006356B1" w:rsidP="0052297A">
      <w:r>
        <w:lastRenderedPageBreak/>
        <w:t>CFPB Spring 2017 Rulemaking Agenda</w:t>
      </w:r>
    </w:p>
    <w:tbl>
      <w:tblPr>
        <w:tblW w:w="5000" w:type="pct"/>
        <w:tblCellSpacing w:w="15" w:type="dxa"/>
        <w:shd w:val="clear" w:color="auto" w:fill="EFEFEF"/>
        <w:tblCellMar>
          <w:top w:w="15" w:type="dxa"/>
          <w:left w:w="15" w:type="dxa"/>
          <w:bottom w:w="15" w:type="dxa"/>
          <w:right w:w="15" w:type="dxa"/>
        </w:tblCellMar>
        <w:tblLook w:val="04A0" w:firstRow="1" w:lastRow="0" w:firstColumn="1" w:lastColumn="0" w:noHBand="0" w:noVBand="1"/>
        <w:tblDescription w:val="agency rule list of a publication"/>
      </w:tblPr>
      <w:tblGrid>
        <w:gridCol w:w="1966"/>
        <w:gridCol w:w="1952"/>
        <w:gridCol w:w="7716"/>
        <w:gridCol w:w="1326"/>
      </w:tblGrid>
      <w:tr w:rsidR="006356B1" w:rsidRPr="006356B1" w:rsidTr="006356B1">
        <w:trPr>
          <w:tblCellSpacing w:w="15" w:type="dxa"/>
        </w:trPr>
        <w:tc>
          <w:tcPr>
            <w:tcW w:w="750" w:type="pct"/>
            <w:shd w:val="clear" w:color="auto" w:fill="003399"/>
            <w:vAlign w:val="center"/>
            <w:hideMark/>
          </w:tcPr>
          <w:p w:rsidR="006356B1" w:rsidRPr="006356B1" w:rsidRDefault="00281928" w:rsidP="006356B1">
            <w:pPr>
              <w:spacing w:after="0" w:line="240" w:lineRule="auto"/>
              <w:jc w:val="center"/>
              <w:rPr>
                <w:rFonts w:ascii="Arial" w:eastAsia="Times New Roman" w:hAnsi="Arial" w:cs="Arial"/>
                <w:b/>
                <w:bCs/>
                <w:color w:val="FFFFFF"/>
                <w:sz w:val="18"/>
                <w:szCs w:val="18"/>
              </w:rPr>
            </w:pPr>
            <w:hyperlink r:id="rId45" w:tooltip="Sorted Agency" w:history="1">
              <w:r w:rsidR="006356B1" w:rsidRPr="006356B1">
                <w:rPr>
                  <w:rFonts w:ascii="Arial" w:eastAsia="Times New Roman" w:hAnsi="Arial" w:cs="Arial"/>
                  <w:b/>
                  <w:bCs/>
                  <w:color w:val="FFFFFF"/>
                  <w:sz w:val="18"/>
                  <w:szCs w:val="18"/>
                  <w:u w:val="single"/>
                  <w:shd w:val="clear" w:color="auto" w:fill="003399"/>
                </w:rPr>
                <w:t>Agency</w:t>
              </w:r>
            </w:hyperlink>
          </w:p>
        </w:tc>
        <w:tc>
          <w:tcPr>
            <w:tcW w:w="750" w:type="pct"/>
            <w:shd w:val="clear" w:color="auto" w:fill="003399"/>
            <w:vAlign w:val="center"/>
            <w:hideMark/>
          </w:tcPr>
          <w:p w:rsidR="006356B1" w:rsidRPr="006356B1" w:rsidRDefault="00281928" w:rsidP="006356B1">
            <w:pPr>
              <w:spacing w:after="0" w:line="240" w:lineRule="auto"/>
              <w:jc w:val="center"/>
              <w:rPr>
                <w:rFonts w:ascii="Arial" w:eastAsia="Times New Roman" w:hAnsi="Arial" w:cs="Arial"/>
                <w:b/>
                <w:bCs/>
                <w:color w:val="FFFFFF"/>
                <w:sz w:val="18"/>
                <w:szCs w:val="18"/>
              </w:rPr>
            </w:pPr>
            <w:hyperlink r:id="rId46" w:tooltip="Sorted by Rule Stage" w:history="1">
              <w:r w:rsidR="006356B1" w:rsidRPr="006356B1">
                <w:rPr>
                  <w:rFonts w:ascii="Arial" w:eastAsia="Times New Roman" w:hAnsi="Arial" w:cs="Arial"/>
                  <w:b/>
                  <w:bCs/>
                  <w:color w:val="FFFFFF"/>
                  <w:sz w:val="18"/>
                  <w:szCs w:val="18"/>
                  <w:u w:val="single"/>
                  <w:shd w:val="clear" w:color="auto" w:fill="003399"/>
                </w:rPr>
                <w:t>Agenda Stage of Rulemaking</w:t>
              </w:r>
            </w:hyperlink>
          </w:p>
        </w:tc>
        <w:tc>
          <w:tcPr>
            <w:tcW w:w="3000" w:type="pct"/>
            <w:shd w:val="clear" w:color="auto" w:fill="003399"/>
            <w:vAlign w:val="center"/>
            <w:hideMark/>
          </w:tcPr>
          <w:p w:rsidR="006356B1" w:rsidRPr="006356B1" w:rsidRDefault="00281928" w:rsidP="006356B1">
            <w:pPr>
              <w:spacing w:after="0" w:line="240" w:lineRule="auto"/>
              <w:jc w:val="center"/>
              <w:rPr>
                <w:rFonts w:ascii="Arial" w:eastAsia="Times New Roman" w:hAnsi="Arial" w:cs="Arial"/>
                <w:b/>
                <w:bCs/>
                <w:color w:val="FFFFFF"/>
                <w:sz w:val="18"/>
                <w:szCs w:val="18"/>
              </w:rPr>
            </w:pPr>
            <w:hyperlink r:id="rId47" w:tooltip="Sorted by Title" w:history="1">
              <w:r w:rsidR="006356B1" w:rsidRPr="006356B1">
                <w:rPr>
                  <w:rFonts w:ascii="Arial" w:eastAsia="Times New Roman" w:hAnsi="Arial" w:cs="Arial"/>
                  <w:b/>
                  <w:bCs/>
                  <w:color w:val="FFFFFF"/>
                  <w:sz w:val="18"/>
                  <w:szCs w:val="18"/>
                  <w:u w:val="single"/>
                  <w:shd w:val="clear" w:color="auto" w:fill="003399"/>
                </w:rPr>
                <w:t>Title</w:t>
              </w:r>
            </w:hyperlink>
          </w:p>
        </w:tc>
        <w:tc>
          <w:tcPr>
            <w:tcW w:w="500" w:type="pct"/>
            <w:shd w:val="clear" w:color="auto" w:fill="003399"/>
            <w:vAlign w:val="center"/>
            <w:hideMark/>
          </w:tcPr>
          <w:p w:rsidR="006356B1" w:rsidRPr="006356B1" w:rsidRDefault="00281928" w:rsidP="006356B1">
            <w:pPr>
              <w:spacing w:after="0" w:line="240" w:lineRule="auto"/>
              <w:jc w:val="center"/>
              <w:rPr>
                <w:rFonts w:ascii="Arial" w:eastAsia="Times New Roman" w:hAnsi="Arial" w:cs="Arial"/>
                <w:b/>
                <w:bCs/>
                <w:color w:val="FFFFFF"/>
                <w:sz w:val="18"/>
                <w:szCs w:val="18"/>
              </w:rPr>
            </w:pPr>
            <w:hyperlink r:id="rId48" w:tooltip="Sorted by RIN" w:history="1">
              <w:r w:rsidR="006356B1" w:rsidRPr="006356B1">
                <w:rPr>
                  <w:rFonts w:ascii="Arial" w:eastAsia="Times New Roman" w:hAnsi="Arial" w:cs="Arial"/>
                  <w:b/>
                  <w:bCs/>
                  <w:color w:val="FFFFFF"/>
                  <w:sz w:val="18"/>
                  <w:szCs w:val="18"/>
                  <w:u w:val="single"/>
                  <w:shd w:val="clear" w:color="auto" w:fill="003399"/>
                </w:rPr>
                <w:t>RIN</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proofErr w:type="spellStart"/>
            <w:r w:rsidRPr="006356B1">
              <w:rPr>
                <w:rFonts w:ascii="Arial" w:eastAsia="Times New Roman" w:hAnsi="Arial" w:cs="Arial"/>
                <w:color w:val="000000"/>
                <w:sz w:val="18"/>
                <w:szCs w:val="18"/>
              </w:rPr>
              <w:t>Prerule</w:t>
            </w:r>
            <w:proofErr w:type="spellEnd"/>
            <w:r w:rsidRPr="006356B1">
              <w:rPr>
                <w:rFonts w:ascii="Arial" w:eastAsia="Times New Roman" w:hAnsi="Arial" w:cs="Arial"/>
                <w:color w:val="000000"/>
                <w:sz w:val="18"/>
                <w:szCs w:val="18"/>
              </w:rPr>
              <w:t xml:space="preserv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Business Lending Data (Regulation B)</w:t>
            </w:r>
          </w:p>
        </w:tc>
        <w:tc>
          <w:tcPr>
            <w:tcW w:w="0" w:type="auto"/>
            <w:shd w:val="clear" w:color="auto" w:fill="E8F0F9"/>
            <w:tcMar>
              <w:top w:w="30" w:type="dxa"/>
              <w:left w:w="30" w:type="dxa"/>
              <w:bottom w:w="30" w:type="dxa"/>
              <w:right w:w="30" w:type="dxa"/>
            </w:tcMar>
            <w:vAlign w:val="center"/>
            <w:hideMark/>
          </w:tcPr>
          <w:p w:rsidR="006356B1" w:rsidRPr="006356B1" w:rsidRDefault="00281928" w:rsidP="006356B1">
            <w:pPr>
              <w:spacing w:after="0" w:line="240" w:lineRule="auto"/>
              <w:rPr>
                <w:rFonts w:ascii="Arial" w:eastAsia="Times New Roman" w:hAnsi="Arial" w:cs="Arial"/>
                <w:color w:val="000000"/>
                <w:sz w:val="18"/>
                <w:szCs w:val="18"/>
              </w:rPr>
            </w:pPr>
            <w:hyperlink r:id="rId49" w:history="1">
              <w:r w:rsidR="006356B1" w:rsidRPr="006356B1">
                <w:rPr>
                  <w:rFonts w:ascii="Arial" w:eastAsia="Times New Roman" w:hAnsi="Arial" w:cs="Arial"/>
                  <w:color w:val="0033FF"/>
                  <w:sz w:val="18"/>
                  <w:szCs w:val="18"/>
                  <w:u w:val="single"/>
                </w:rPr>
                <w:t>3170-AA09</w:t>
              </w:r>
            </w:hyperlink>
          </w:p>
        </w:tc>
      </w:tr>
      <w:tr w:rsidR="006356B1" w:rsidRPr="006356B1" w:rsidTr="006356B1">
        <w:trPr>
          <w:tblCellSpacing w:w="15" w:type="dxa"/>
        </w:trPr>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proofErr w:type="spellStart"/>
            <w:r w:rsidRPr="006356B1">
              <w:rPr>
                <w:rFonts w:ascii="Arial" w:eastAsia="Times New Roman" w:hAnsi="Arial" w:cs="Arial"/>
                <w:color w:val="000000"/>
                <w:sz w:val="18"/>
                <w:szCs w:val="18"/>
              </w:rPr>
              <w:t>Prerule</w:t>
            </w:r>
            <w:proofErr w:type="spellEnd"/>
            <w:r w:rsidRPr="006356B1">
              <w:rPr>
                <w:rFonts w:ascii="Arial" w:eastAsia="Times New Roman" w:hAnsi="Arial" w:cs="Arial"/>
                <w:color w:val="000000"/>
                <w:sz w:val="18"/>
                <w:szCs w:val="18"/>
              </w:rPr>
              <w:t xml:space="preserve"> Stage</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Overdraft Services</w:t>
            </w:r>
          </w:p>
        </w:tc>
        <w:tc>
          <w:tcPr>
            <w:tcW w:w="0" w:type="auto"/>
            <w:shd w:val="clear" w:color="auto" w:fill="FFFFFF"/>
            <w:tcMar>
              <w:top w:w="30" w:type="dxa"/>
              <w:left w:w="30" w:type="dxa"/>
              <w:bottom w:w="30" w:type="dxa"/>
              <w:right w:w="30" w:type="dxa"/>
            </w:tcMar>
            <w:vAlign w:val="center"/>
            <w:hideMark/>
          </w:tcPr>
          <w:p w:rsidR="006356B1" w:rsidRPr="006356B1" w:rsidRDefault="00281928" w:rsidP="006356B1">
            <w:pPr>
              <w:spacing w:after="0" w:line="240" w:lineRule="auto"/>
              <w:rPr>
                <w:rFonts w:ascii="Arial" w:eastAsia="Times New Roman" w:hAnsi="Arial" w:cs="Arial"/>
                <w:color w:val="000000"/>
                <w:sz w:val="18"/>
                <w:szCs w:val="18"/>
              </w:rPr>
            </w:pPr>
            <w:hyperlink r:id="rId50" w:history="1">
              <w:r w:rsidR="006356B1" w:rsidRPr="006356B1">
                <w:rPr>
                  <w:rFonts w:ascii="Arial" w:eastAsia="Times New Roman" w:hAnsi="Arial" w:cs="Arial"/>
                  <w:color w:val="0033FF"/>
                  <w:sz w:val="18"/>
                  <w:szCs w:val="18"/>
                  <w:u w:val="single"/>
                </w:rPr>
                <w:t>3170-AA42</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proofErr w:type="spellStart"/>
            <w:r w:rsidRPr="006356B1">
              <w:rPr>
                <w:rFonts w:ascii="Arial" w:eastAsia="Times New Roman" w:hAnsi="Arial" w:cs="Arial"/>
                <w:color w:val="000000"/>
                <w:sz w:val="18"/>
                <w:szCs w:val="18"/>
              </w:rPr>
              <w:t>Prerule</w:t>
            </w:r>
            <w:proofErr w:type="spellEnd"/>
            <w:r w:rsidRPr="006356B1">
              <w:rPr>
                <w:rFonts w:ascii="Arial" w:eastAsia="Times New Roman" w:hAnsi="Arial" w:cs="Arial"/>
                <w:color w:val="000000"/>
                <w:sz w:val="18"/>
                <w:szCs w:val="18"/>
              </w:rPr>
              <w:t xml:space="preserv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Submission of Credit Card Agreements Under the Truth in Lending Act (Regulation Z)</w:t>
            </w:r>
          </w:p>
        </w:tc>
        <w:tc>
          <w:tcPr>
            <w:tcW w:w="0" w:type="auto"/>
            <w:shd w:val="clear" w:color="auto" w:fill="E8F0F9"/>
            <w:tcMar>
              <w:top w:w="30" w:type="dxa"/>
              <w:left w:w="30" w:type="dxa"/>
              <w:bottom w:w="30" w:type="dxa"/>
              <w:right w:w="30" w:type="dxa"/>
            </w:tcMar>
            <w:vAlign w:val="center"/>
            <w:hideMark/>
          </w:tcPr>
          <w:p w:rsidR="006356B1" w:rsidRPr="006356B1" w:rsidRDefault="00281928" w:rsidP="006356B1">
            <w:pPr>
              <w:spacing w:after="0" w:line="240" w:lineRule="auto"/>
              <w:rPr>
                <w:rFonts w:ascii="Arial" w:eastAsia="Times New Roman" w:hAnsi="Arial" w:cs="Arial"/>
                <w:color w:val="000000"/>
                <w:sz w:val="18"/>
                <w:szCs w:val="18"/>
              </w:rPr>
            </w:pPr>
            <w:hyperlink r:id="rId51" w:history="1">
              <w:r w:rsidR="006356B1" w:rsidRPr="006356B1">
                <w:rPr>
                  <w:rFonts w:ascii="Arial" w:eastAsia="Times New Roman" w:hAnsi="Arial" w:cs="Arial"/>
                  <w:color w:val="0033FF"/>
                  <w:sz w:val="18"/>
                  <w:szCs w:val="18"/>
                  <w:u w:val="single"/>
                </w:rPr>
                <w:t>3170-AA70</w:t>
              </w:r>
            </w:hyperlink>
          </w:p>
        </w:tc>
      </w:tr>
      <w:tr w:rsidR="006356B1" w:rsidRPr="006356B1" w:rsidTr="006356B1">
        <w:trPr>
          <w:tblCellSpacing w:w="15" w:type="dxa"/>
        </w:trPr>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proofErr w:type="spellStart"/>
            <w:r w:rsidRPr="006356B1">
              <w:rPr>
                <w:rFonts w:ascii="Arial" w:eastAsia="Times New Roman" w:hAnsi="Arial" w:cs="Arial"/>
                <w:color w:val="000000"/>
                <w:sz w:val="18"/>
                <w:szCs w:val="18"/>
              </w:rPr>
              <w:t>Prerule</w:t>
            </w:r>
            <w:proofErr w:type="spellEnd"/>
            <w:r w:rsidRPr="006356B1">
              <w:rPr>
                <w:rFonts w:ascii="Arial" w:eastAsia="Times New Roman" w:hAnsi="Arial" w:cs="Arial"/>
                <w:color w:val="000000"/>
                <w:sz w:val="18"/>
                <w:szCs w:val="18"/>
              </w:rPr>
              <w:t xml:space="preserve"> Stage</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Review of Inherited Regulations</w:t>
            </w:r>
          </w:p>
        </w:tc>
        <w:tc>
          <w:tcPr>
            <w:tcW w:w="0" w:type="auto"/>
            <w:shd w:val="clear" w:color="auto" w:fill="FFFFFF"/>
            <w:tcMar>
              <w:top w:w="30" w:type="dxa"/>
              <w:left w:w="30" w:type="dxa"/>
              <w:bottom w:w="30" w:type="dxa"/>
              <w:right w:w="30" w:type="dxa"/>
            </w:tcMar>
            <w:vAlign w:val="center"/>
            <w:hideMark/>
          </w:tcPr>
          <w:p w:rsidR="006356B1" w:rsidRPr="006356B1" w:rsidRDefault="00281928" w:rsidP="006356B1">
            <w:pPr>
              <w:spacing w:after="0" w:line="240" w:lineRule="auto"/>
              <w:rPr>
                <w:rFonts w:ascii="Arial" w:eastAsia="Times New Roman" w:hAnsi="Arial" w:cs="Arial"/>
                <w:color w:val="000000"/>
                <w:sz w:val="18"/>
                <w:szCs w:val="18"/>
              </w:rPr>
            </w:pPr>
            <w:hyperlink r:id="rId52" w:history="1">
              <w:r w:rsidR="006356B1" w:rsidRPr="006356B1">
                <w:rPr>
                  <w:rFonts w:ascii="Arial" w:eastAsia="Times New Roman" w:hAnsi="Arial" w:cs="Arial"/>
                  <w:color w:val="0033FF"/>
                  <w:sz w:val="18"/>
                  <w:szCs w:val="18"/>
                  <w:u w:val="single"/>
                </w:rPr>
                <w:t>3170-AA73</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Proposed Rule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Supervision of Larger Participants in Markets for Personal Loans</w:t>
            </w:r>
          </w:p>
        </w:tc>
        <w:tc>
          <w:tcPr>
            <w:tcW w:w="0" w:type="auto"/>
            <w:shd w:val="clear" w:color="auto" w:fill="E8F0F9"/>
            <w:tcMar>
              <w:top w:w="30" w:type="dxa"/>
              <w:left w:w="30" w:type="dxa"/>
              <w:bottom w:w="30" w:type="dxa"/>
              <w:right w:w="30" w:type="dxa"/>
            </w:tcMar>
            <w:vAlign w:val="center"/>
            <w:hideMark/>
          </w:tcPr>
          <w:p w:rsidR="006356B1" w:rsidRPr="006356B1" w:rsidRDefault="00281928" w:rsidP="006356B1">
            <w:pPr>
              <w:spacing w:after="0" w:line="240" w:lineRule="auto"/>
              <w:rPr>
                <w:rFonts w:ascii="Arial" w:eastAsia="Times New Roman" w:hAnsi="Arial" w:cs="Arial"/>
                <w:color w:val="000000"/>
                <w:sz w:val="18"/>
                <w:szCs w:val="18"/>
              </w:rPr>
            </w:pPr>
            <w:hyperlink r:id="rId53" w:history="1">
              <w:r w:rsidR="006356B1" w:rsidRPr="006356B1">
                <w:rPr>
                  <w:rFonts w:ascii="Arial" w:eastAsia="Times New Roman" w:hAnsi="Arial" w:cs="Arial"/>
                  <w:color w:val="0033FF"/>
                  <w:sz w:val="18"/>
                  <w:szCs w:val="18"/>
                  <w:u w:val="single"/>
                </w:rPr>
                <w:t>3170-AA07</w:t>
              </w:r>
            </w:hyperlink>
          </w:p>
        </w:tc>
      </w:tr>
      <w:tr w:rsidR="006356B1" w:rsidRPr="006356B1" w:rsidTr="006356B1">
        <w:trPr>
          <w:tblCellSpacing w:w="15" w:type="dxa"/>
        </w:trPr>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Proposed Rule Stage</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Payday, Vehicle Title, and Certain High-Cost Installment Loans</w:t>
            </w:r>
          </w:p>
        </w:tc>
        <w:tc>
          <w:tcPr>
            <w:tcW w:w="0" w:type="auto"/>
            <w:shd w:val="clear" w:color="auto" w:fill="FFFFFF"/>
            <w:tcMar>
              <w:top w:w="30" w:type="dxa"/>
              <w:left w:w="30" w:type="dxa"/>
              <w:bottom w:w="30" w:type="dxa"/>
              <w:right w:w="30" w:type="dxa"/>
            </w:tcMar>
            <w:vAlign w:val="center"/>
            <w:hideMark/>
          </w:tcPr>
          <w:p w:rsidR="006356B1" w:rsidRPr="006356B1" w:rsidRDefault="00281928" w:rsidP="006356B1">
            <w:pPr>
              <w:spacing w:after="0" w:line="240" w:lineRule="auto"/>
              <w:rPr>
                <w:rFonts w:ascii="Arial" w:eastAsia="Times New Roman" w:hAnsi="Arial" w:cs="Arial"/>
                <w:color w:val="000000"/>
                <w:sz w:val="18"/>
                <w:szCs w:val="18"/>
              </w:rPr>
            </w:pPr>
            <w:hyperlink r:id="rId54" w:history="1">
              <w:r w:rsidR="006356B1" w:rsidRPr="006356B1">
                <w:rPr>
                  <w:rFonts w:ascii="Arial" w:eastAsia="Times New Roman" w:hAnsi="Arial" w:cs="Arial"/>
                  <w:color w:val="0033FF"/>
                  <w:sz w:val="18"/>
                  <w:szCs w:val="18"/>
                  <w:u w:val="single"/>
                </w:rPr>
                <w:t>3170-AA40</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Proposed Rule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Debt Collection Rule</w:t>
            </w:r>
          </w:p>
        </w:tc>
        <w:tc>
          <w:tcPr>
            <w:tcW w:w="0" w:type="auto"/>
            <w:shd w:val="clear" w:color="auto" w:fill="E8F0F9"/>
            <w:tcMar>
              <w:top w:w="30" w:type="dxa"/>
              <w:left w:w="30" w:type="dxa"/>
              <w:bottom w:w="30" w:type="dxa"/>
              <w:right w:w="30" w:type="dxa"/>
            </w:tcMar>
            <w:vAlign w:val="center"/>
            <w:hideMark/>
          </w:tcPr>
          <w:p w:rsidR="006356B1" w:rsidRPr="006356B1" w:rsidRDefault="00281928" w:rsidP="006356B1">
            <w:pPr>
              <w:spacing w:after="0" w:line="240" w:lineRule="auto"/>
              <w:rPr>
                <w:rFonts w:ascii="Arial" w:eastAsia="Times New Roman" w:hAnsi="Arial" w:cs="Arial"/>
                <w:color w:val="000000"/>
                <w:sz w:val="18"/>
                <w:szCs w:val="18"/>
              </w:rPr>
            </w:pPr>
            <w:hyperlink r:id="rId55" w:history="1">
              <w:r w:rsidR="006356B1" w:rsidRPr="006356B1">
                <w:rPr>
                  <w:rFonts w:ascii="Arial" w:eastAsia="Times New Roman" w:hAnsi="Arial" w:cs="Arial"/>
                  <w:color w:val="0033FF"/>
                  <w:sz w:val="18"/>
                  <w:szCs w:val="18"/>
                  <w:u w:val="single"/>
                </w:rPr>
                <w:t>3170-AA41</w:t>
              </w:r>
            </w:hyperlink>
          </w:p>
        </w:tc>
      </w:tr>
      <w:tr w:rsidR="006356B1" w:rsidRPr="006356B1" w:rsidTr="006356B1">
        <w:trPr>
          <w:tblCellSpacing w:w="15" w:type="dxa"/>
        </w:trPr>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Proposed Rule Stage</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Amendments to FIRREA Concerning Appraisals (Automated Valuation Models)</w:t>
            </w:r>
          </w:p>
        </w:tc>
        <w:tc>
          <w:tcPr>
            <w:tcW w:w="0" w:type="auto"/>
            <w:shd w:val="clear" w:color="auto" w:fill="FFFFFF"/>
            <w:tcMar>
              <w:top w:w="30" w:type="dxa"/>
              <w:left w:w="30" w:type="dxa"/>
              <w:bottom w:w="30" w:type="dxa"/>
              <w:right w:w="30" w:type="dxa"/>
            </w:tcMar>
            <w:vAlign w:val="center"/>
            <w:hideMark/>
          </w:tcPr>
          <w:p w:rsidR="006356B1" w:rsidRPr="006356B1" w:rsidRDefault="00281928" w:rsidP="006356B1">
            <w:pPr>
              <w:spacing w:after="0" w:line="240" w:lineRule="auto"/>
              <w:rPr>
                <w:rFonts w:ascii="Arial" w:eastAsia="Times New Roman" w:hAnsi="Arial" w:cs="Arial"/>
                <w:color w:val="000000"/>
                <w:sz w:val="18"/>
                <w:szCs w:val="18"/>
              </w:rPr>
            </w:pPr>
            <w:hyperlink r:id="rId56" w:history="1">
              <w:r w:rsidR="006356B1" w:rsidRPr="006356B1">
                <w:rPr>
                  <w:rFonts w:ascii="Arial" w:eastAsia="Times New Roman" w:hAnsi="Arial" w:cs="Arial"/>
                  <w:color w:val="0033FF"/>
                  <w:sz w:val="18"/>
                  <w:szCs w:val="18"/>
                  <w:u w:val="single"/>
                </w:rPr>
                <w:t>3170-AA57</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Proposed Rule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Technical Corrections and Clarifying Amendments to Home Mortgage Disclosure Act (Regulation C)</w:t>
            </w:r>
          </w:p>
        </w:tc>
        <w:tc>
          <w:tcPr>
            <w:tcW w:w="0" w:type="auto"/>
            <w:shd w:val="clear" w:color="auto" w:fill="E8F0F9"/>
            <w:tcMar>
              <w:top w:w="30" w:type="dxa"/>
              <w:left w:w="30" w:type="dxa"/>
              <w:bottom w:w="30" w:type="dxa"/>
              <w:right w:w="30" w:type="dxa"/>
            </w:tcMar>
            <w:vAlign w:val="center"/>
            <w:hideMark/>
          </w:tcPr>
          <w:p w:rsidR="006356B1" w:rsidRPr="006356B1" w:rsidRDefault="00281928" w:rsidP="006356B1">
            <w:pPr>
              <w:spacing w:after="0" w:line="240" w:lineRule="auto"/>
              <w:rPr>
                <w:rFonts w:ascii="Arial" w:eastAsia="Times New Roman" w:hAnsi="Arial" w:cs="Arial"/>
                <w:color w:val="000000"/>
                <w:sz w:val="18"/>
                <w:szCs w:val="18"/>
              </w:rPr>
            </w:pPr>
            <w:hyperlink r:id="rId57" w:history="1">
              <w:r w:rsidR="006356B1" w:rsidRPr="006356B1">
                <w:rPr>
                  <w:rFonts w:ascii="Arial" w:eastAsia="Times New Roman" w:hAnsi="Arial" w:cs="Arial"/>
                  <w:color w:val="0033FF"/>
                  <w:sz w:val="18"/>
                  <w:szCs w:val="18"/>
                  <w:u w:val="single"/>
                </w:rPr>
                <w:t>3170-AA64</w:t>
              </w:r>
            </w:hyperlink>
          </w:p>
        </w:tc>
      </w:tr>
      <w:tr w:rsidR="006356B1" w:rsidRPr="006356B1" w:rsidTr="006356B1">
        <w:trPr>
          <w:tblCellSpacing w:w="15" w:type="dxa"/>
        </w:trPr>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Proposed Rule Stage</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Reconciling Equal Credit Opportunity Act (Regulation B) and Home Mortgage Disclosure Act (Regulation C) Ethnicity and Race Information Collection</w:t>
            </w:r>
          </w:p>
        </w:tc>
        <w:tc>
          <w:tcPr>
            <w:tcW w:w="0" w:type="auto"/>
            <w:shd w:val="clear" w:color="auto" w:fill="FFFFFF"/>
            <w:tcMar>
              <w:top w:w="30" w:type="dxa"/>
              <w:left w:w="30" w:type="dxa"/>
              <w:bottom w:w="30" w:type="dxa"/>
              <w:right w:w="30" w:type="dxa"/>
            </w:tcMar>
            <w:vAlign w:val="center"/>
            <w:hideMark/>
          </w:tcPr>
          <w:p w:rsidR="006356B1" w:rsidRPr="006356B1" w:rsidRDefault="00281928" w:rsidP="006356B1">
            <w:pPr>
              <w:spacing w:after="0" w:line="240" w:lineRule="auto"/>
              <w:rPr>
                <w:rFonts w:ascii="Arial" w:eastAsia="Times New Roman" w:hAnsi="Arial" w:cs="Arial"/>
                <w:color w:val="000000"/>
                <w:sz w:val="18"/>
                <w:szCs w:val="18"/>
              </w:rPr>
            </w:pPr>
            <w:hyperlink r:id="rId58" w:history="1">
              <w:r w:rsidR="006356B1" w:rsidRPr="006356B1">
                <w:rPr>
                  <w:rFonts w:ascii="Arial" w:eastAsia="Times New Roman" w:hAnsi="Arial" w:cs="Arial"/>
                  <w:color w:val="0033FF"/>
                  <w:sz w:val="18"/>
                  <w:szCs w:val="18"/>
                  <w:u w:val="single"/>
                </w:rPr>
                <w:t>3170-AA65</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Proposed Rule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Amendment to the Federal Mortgage Disclosure Requirements Under the Truth in Lending Act (Regulation Z)</w:t>
            </w:r>
          </w:p>
        </w:tc>
        <w:tc>
          <w:tcPr>
            <w:tcW w:w="0" w:type="auto"/>
            <w:shd w:val="clear" w:color="auto" w:fill="E8F0F9"/>
            <w:tcMar>
              <w:top w:w="30" w:type="dxa"/>
              <w:left w:w="30" w:type="dxa"/>
              <w:bottom w:w="30" w:type="dxa"/>
              <w:right w:w="30" w:type="dxa"/>
            </w:tcMar>
            <w:vAlign w:val="center"/>
            <w:hideMark/>
          </w:tcPr>
          <w:p w:rsidR="006356B1" w:rsidRPr="006356B1" w:rsidRDefault="00281928" w:rsidP="006356B1">
            <w:pPr>
              <w:spacing w:after="0" w:line="240" w:lineRule="auto"/>
              <w:rPr>
                <w:rFonts w:ascii="Arial" w:eastAsia="Times New Roman" w:hAnsi="Arial" w:cs="Arial"/>
                <w:color w:val="000000"/>
                <w:sz w:val="18"/>
                <w:szCs w:val="18"/>
              </w:rPr>
            </w:pPr>
            <w:hyperlink r:id="rId59" w:history="1">
              <w:r w:rsidR="006356B1" w:rsidRPr="006356B1">
                <w:rPr>
                  <w:rFonts w:ascii="Arial" w:eastAsia="Times New Roman" w:hAnsi="Arial" w:cs="Arial"/>
                  <w:color w:val="0033FF"/>
                  <w:sz w:val="18"/>
                  <w:szCs w:val="18"/>
                  <w:u w:val="single"/>
                </w:rPr>
                <w:t>3170-AA71</w:t>
              </w:r>
            </w:hyperlink>
          </w:p>
        </w:tc>
      </w:tr>
      <w:tr w:rsidR="006356B1" w:rsidRPr="006356B1" w:rsidTr="006356B1">
        <w:trPr>
          <w:tblCellSpacing w:w="15" w:type="dxa"/>
        </w:trPr>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Proposed Rule Stage</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Amendments to Rules Concerning Prepaid Accounts Under the Electronic Fund Transfer Act (Regulation E) and the Truth in Lending Act (Regulation Z)</w:t>
            </w:r>
          </w:p>
        </w:tc>
        <w:tc>
          <w:tcPr>
            <w:tcW w:w="0" w:type="auto"/>
            <w:shd w:val="clear" w:color="auto" w:fill="FFFFFF"/>
            <w:tcMar>
              <w:top w:w="30" w:type="dxa"/>
              <w:left w:w="30" w:type="dxa"/>
              <w:bottom w:w="30" w:type="dxa"/>
              <w:right w:w="30" w:type="dxa"/>
            </w:tcMar>
            <w:vAlign w:val="center"/>
            <w:hideMark/>
          </w:tcPr>
          <w:p w:rsidR="006356B1" w:rsidRPr="006356B1" w:rsidRDefault="00281928" w:rsidP="006356B1">
            <w:pPr>
              <w:spacing w:after="0" w:line="240" w:lineRule="auto"/>
              <w:rPr>
                <w:rFonts w:ascii="Arial" w:eastAsia="Times New Roman" w:hAnsi="Arial" w:cs="Arial"/>
                <w:color w:val="000000"/>
                <w:sz w:val="18"/>
                <w:szCs w:val="18"/>
              </w:rPr>
            </w:pPr>
            <w:hyperlink r:id="rId60" w:history="1">
              <w:r w:rsidR="006356B1" w:rsidRPr="006356B1">
                <w:rPr>
                  <w:rFonts w:ascii="Arial" w:eastAsia="Times New Roman" w:hAnsi="Arial" w:cs="Arial"/>
                  <w:color w:val="0033FF"/>
                  <w:sz w:val="18"/>
                  <w:szCs w:val="18"/>
                  <w:u w:val="single"/>
                </w:rPr>
                <w:t>3170-AA72</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Proposed Rule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Amendments to the 2016 Amendments to the 2013 Mortgage Servicing Rules Under the Real Estate Settlement Procedures Act (Regulation X) and the Truth in Lending Act (Regulation Z)</w:t>
            </w:r>
          </w:p>
        </w:tc>
        <w:tc>
          <w:tcPr>
            <w:tcW w:w="0" w:type="auto"/>
            <w:shd w:val="clear" w:color="auto" w:fill="E8F0F9"/>
            <w:tcMar>
              <w:top w:w="30" w:type="dxa"/>
              <w:left w:w="30" w:type="dxa"/>
              <w:bottom w:w="30" w:type="dxa"/>
              <w:right w:w="30" w:type="dxa"/>
            </w:tcMar>
            <w:vAlign w:val="center"/>
            <w:hideMark/>
          </w:tcPr>
          <w:p w:rsidR="006356B1" w:rsidRPr="006356B1" w:rsidRDefault="00281928" w:rsidP="006356B1">
            <w:pPr>
              <w:spacing w:after="0" w:line="240" w:lineRule="auto"/>
              <w:rPr>
                <w:rFonts w:ascii="Arial" w:eastAsia="Times New Roman" w:hAnsi="Arial" w:cs="Arial"/>
                <w:color w:val="000000"/>
                <w:sz w:val="18"/>
                <w:szCs w:val="18"/>
              </w:rPr>
            </w:pPr>
            <w:hyperlink r:id="rId61" w:history="1">
              <w:r w:rsidR="006356B1" w:rsidRPr="006356B1">
                <w:rPr>
                  <w:rFonts w:ascii="Arial" w:eastAsia="Times New Roman" w:hAnsi="Arial" w:cs="Arial"/>
                  <w:color w:val="0033FF"/>
                  <w:sz w:val="18"/>
                  <w:szCs w:val="18"/>
                  <w:u w:val="single"/>
                </w:rPr>
                <w:t>3170-AA75</w:t>
              </w:r>
            </w:hyperlink>
          </w:p>
        </w:tc>
      </w:tr>
      <w:tr w:rsidR="006356B1" w:rsidRPr="006356B1" w:rsidTr="006356B1">
        <w:trPr>
          <w:tblCellSpacing w:w="15" w:type="dxa"/>
        </w:trPr>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Final Rule Stage</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The Expedited Funds Availability Act (Regulation CC)</w:t>
            </w:r>
          </w:p>
        </w:tc>
        <w:tc>
          <w:tcPr>
            <w:tcW w:w="0" w:type="auto"/>
            <w:shd w:val="clear" w:color="auto" w:fill="FFFFFF"/>
            <w:tcMar>
              <w:top w:w="30" w:type="dxa"/>
              <w:left w:w="30" w:type="dxa"/>
              <w:bottom w:w="30" w:type="dxa"/>
              <w:right w:w="30" w:type="dxa"/>
            </w:tcMar>
            <w:vAlign w:val="center"/>
            <w:hideMark/>
          </w:tcPr>
          <w:p w:rsidR="006356B1" w:rsidRPr="006356B1" w:rsidRDefault="00281928" w:rsidP="006356B1">
            <w:pPr>
              <w:spacing w:after="0" w:line="240" w:lineRule="auto"/>
              <w:rPr>
                <w:rFonts w:ascii="Arial" w:eastAsia="Times New Roman" w:hAnsi="Arial" w:cs="Arial"/>
                <w:color w:val="000000"/>
                <w:sz w:val="18"/>
                <w:szCs w:val="18"/>
              </w:rPr>
            </w:pPr>
            <w:hyperlink r:id="rId62" w:history="1">
              <w:r w:rsidR="006356B1" w:rsidRPr="006356B1">
                <w:rPr>
                  <w:rFonts w:ascii="Arial" w:eastAsia="Times New Roman" w:hAnsi="Arial" w:cs="Arial"/>
                  <w:color w:val="0033FF"/>
                  <w:sz w:val="18"/>
                  <w:szCs w:val="18"/>
                  <w:u w:val="single"/>
                </w:rPr>
                <w:t>3170-AA31</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Final Rule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Arbitration</w:t>
            </w:r>
          </w:p>
        </w:tc>
        <w:tc>
          <w:tcPr>
            <w:tcW w:w="0" w:type="auto"/>
            <w:shd w:val="clear" w:color="auto" w:fill="E8F0F9"/>
            <w:tcMar>
              <w:top w:w="30" w:type="dxa"/>
              <w:left w:w="30" w:type="dxa"/>
              <w:bottom w:w="30" w:type="dxa"/>
              <w:right w:w="30" w:type="dxa"/>
            </w:tcMar>
            <w:vAlign w:val="center"/>
            <w:hideMark/>
          </w:tcPr>
          <w:p w:rsidR="006356B1" w:rsidRPr="006356B1" w:rsidRDefault="00281928" w:rsidP="006356B1">
            <w:pPr>
              <w:spacing w:after="0" w:line="240" w:lineRule="auto"/>
              <w:rPr>
                <w:rFonts w:ascii="Arial" w:eastAsia="Times New Roman" w:hAnsi="Arial" w:cs="Arial"/>
                <w:color w:val="000000"/>
                <w:sz w:val="18"/>
                <w:szCs w:val="18"/>
              </w:rPr>
            </w:pPr>
            <w:hyperlink r:id="rId63" w:history="1">
              <w:r w:rsidR="006356B1" w:rsidRPr="006356B1">
                <w:rPr>
                  <w:rFonts w:ascii="Arial" w:eastAsia="Times New Roman" w:hAnsi="Arial" w:cs="Arial"/>
                  <w:color w:val="0033FF"/>
                  <w:sz w:val="18"/>
                  <w:szCs w:val="18"/>
                  <w:u w:val="single"/>
                </w:rPr>
                <w:t>3170-AA51</w:t>
              </w:r>
            </w:hyperlink>
          </w:p>
        </w:tc>
      </w:tr>
      <w:tr w:rsidR="006356B1" w:rsidRPr="006356B1" w:rsidTr="006356B1">
        <w:trPr>
          <w:tblCellSpacing w:w="15" w:type="dxa"/>
        </w:trPr>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Final Rule Stage</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Gramm-Leach-Bliley Act (GLBA) (Regulation P)</w:t>
            </w:r>
          </w:p>
        </w:tc>
        <w:tc>
          <w:tcPr>
            <w:tcW w:w="0" w:type="auto"/>
            <w:shd w:val="clear" w:color="auto" w:fill="FFFFFF"/>
            <w:tcMar>
              <w:top w:w="30" w:type="dxa"/>
              <w:left w:w="30" w:type="dxa"/>
              <w:bottom w:w="30" w:type="dxa"/>
              <w:right w:w="30" w:type="dxa"/>
            </w:tcMar>
            <w:vAlign w:val="center"/>
            <w:hideMark/>
          </w:tcPr>
          <w:p w:rsidR="006356B1" w:rsidRPr="006356B1" w:rsidRDefault="00281928" w:rsidP="006356B1">
            <w:pPr>
              <w:spacing w:after="0" w:line="240" w:lineRule="auto"/>
              <w:rPr>
                <w:rFonts w:ascii="Arial" w:eastAsia="Times New Roman" w:hAnsi="Arial" w:cs="Arial"/>
                <w:color w:val="000000"/>
                <w:sz w:val="18"/>
                <w:szCs w:val="18"/>
              </w:rPr>
            </w:pPr>
            <w:hyperlink r:id="rId64" w:history="1">
              <w:r w:rsidR="006356B1" w:rsidRPr="006356B1">
                <w:rPr>
                  <w:rFonts w:ascii="Arial" w:eastAsia="Times New Roman" w:hAnsi="Arial" w:cs="Arial"/>
                  <w:color w:val="0033FF"/>
                  <w:sz w:val="18"/>
                  <w:szCs w:val="18"/>
                  <w:u w:val="single"/>
                </w:rPr>
                <w:t>3170-AA60</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Final Rule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Amendments to Federal Mortgage Disclosure Requirements Under the Truth in Lending Act (Regulation Z)</w:t>
            </w:r>
          </w:p>
        </w:tc>
        <w:tc>
          <w:tcPr>
            <w:tcW w:w="0" w:type="auto"/>
            <w:shd w:val="clear" w:color="auto" w:fill="E8F0F9"/>
            <w:tcMar>
              <w:top w:w="30" w:type="dxa"/>
              <w:left w:w="30" w:type="dxa"/>
              <w:bottom w:w="30" w:type="dxa"/>
              <w:right w:w="30" w:type="dxa"/>
            </w:tcMar>
            <w:vAlign w:val="center"/>
            <w:hideMark/>
          </w:tcPr>
          <w:p w:rsidR="006356B1" w:rsidRPr="006356B1" w:rsidRDefault="00281928" w:rsidP="006356B1">
            <w:pPr>
              <w:spacing w:after="0" w:line="240" w:lineRule="auto"/>
              <w:rPr>
                <w:rFonts w:ascii="Arial" w:eastAsia="Times New Roman" w:hAnsi="Arial" w:cs="Arial"/>
                <w:color w:val="000000"/>
                <w:sz w:val="18"/>
                <w:szCs w:val="18"/>
              </w:rPr>
            </w:pPr>
            <w:hyperlink r:id="rId65" w:history="1">
              <w:r w:rsidR="006356B1" w:rsidRPr="006356B1">
                <w:rPr>
                  <w:rFonts w:ascii="Arial" w:eastAsia="Times New Roman" w:hAnsi="Arial" w:cs="Arial"/>
                  <w:color w:val="0033FF"/>
                  <w:sz w:val="18"/>
                  <w:szCs w:val="18"/>
                  <w:u w:val="single"/>
                </w:rPr>
                <w:t>3170-AA61</w:t>
              </w:r>
            </w:hyperlink>
          </w:p>
        </w:tc>
      </w:tr>
      <w:tr w:rsidR="006356B1" w:rsidRPr="006356B1" w:rsidTr="006356B1">
        <w:trPr>
          <w:tblCellSpacing w:w="15" w:type="dxa"/>
        </w:trPr>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Final Rule Stage</w:t>
            </w:r>
          </w:p>
        </w:tc>
        <w:tc>
          <w:tcPr>
            <w:tcW w:w="0" w:type="auto"/>
            <w:shd w:val="clear" w:color="auto" w:fill="FFFFFF"/>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Amendments Relating to Disclosure of Records and Information</w:t>
            </w:r>
          </w:p>
        </w:tc>
        <w:tc>
          <w:tcPr>
            <w:tcW w:w="0" w:type="auto"/>
            <w:shd w:val="clear" w:color="auto" w:fill="FFFFFF"/>
            <w:tcMar>
              <w:top w:w="30" w:type="dxa"/>
              <w:left w:w="30" w:type="dxa"/>
              <w:bottom w:w="30" w:type="dxa"/>
              <w:right w:w="30" w:type="dxa"/>
            </w:tcMar>
            <w:vAlign w:val="center"/>
            <w:hideMark/>
          </w:tcPr>
          <w:p w:rsidR="006356B1" w:rsidRPr="006356B1" w:rsidRDefault="00281928" w:rsidP="006356B1">
            <w:pPr>
              <w:spacing w:after="0" w:line="240" w:lineRule="auto"/>
              <w:rPr>
                <w:rFonts w:ascii="Arial" w:eastAsia="Times New Roman" w:hAnsi="Arial" w:cs="Arial"/>
                <w:color w:val="000000"/>
                <w:sz w:val="18"/>
                <w:szCs w:val="18"/>
              </w:rPr>
            </w:pPr>
            <w:hyperlink r:id="rId66" w:history="1">
              <w:r w:rsidR="006356B1" w:rsidRPr="006356B1">
                <w:rPr>
                  <w:rFonts w:ascii="Arial" w:eastAsia="Times New Roman" w:hAnsi="Arial" w:cs="Arial"/>
                  <w:color w:val="0033FF"/>
                  <w:sz w:val="18"/>
                  <w:szCs w:val="18"/>
                  <w:u w:val="single"/>
                </w:rPr>
                <w:t>3170-AA63</w:t>
              </w:r>
            </w:hyperlink>
          </w:p>
        </w:tc>
      </w:tr>
      <w:tr w:rsidR="006356B1" w:rsidRPr="006356B1" w:rsidTr="006356B1">
        <w:trPr>
          <w:tblCellSpacing w:w="15" w:type="dxa"/>
        </w:trPr>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CFPB</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Final Rule Stage</w:t>
            </w:r>
          </w:p>
        </w:tc>
        <w:tc>
          <w:tcPr>
            <w:tcW w:w="0" w:type="auto"/>
            <w:shd w:val="clear" w:color="auto" w:fill="E8F0F9"/>
            <w:tcMar>
              <w:top w:w="30" w:type="dxa"/>
              <w:left w:w="30" w:type="dxa"/>
              <w:bottom w:w="30" w:type="dxa"/>
              <w:right w:w="30" w:type="dxa"/>
            </w:tcMar>
            <w:vAlign w:val="center"/>
            <w:hideMark/>
          </w:tcPr>
          <w:p w:rsidR="006356B1" w:rsidRPr="006356B1" w:rsidRDefault="006356B1" w:rsidP="006356B1">
            <w:pPr>
              <w:spacing w:after="0" w:line="240" w:lineRule="auto"/>
              <w:rPr>
                <w:rFonts w:ascii="Arial" w:eastAsia="Times New Roman" w:hAnsi="Arial" w:cs="Arial"/>
                <w:color w:val="000000"/>
                <w:sz w:val="18"/>
                <w:szCs w:val="18"/>
              </w:rPr>
            </w:pPr>
            <w:r w:rsidRPr="006356B1">
              <w:rPr>
                <w:rFonts w:ascii="Arial" w:eastAsia="Times New Roman" w:hAnsi="Arial" w:cs="Arial"/>
                <w:color w:val="000000"/>
                <w:sz w:val="18"/>
                <w:szCs w:val="18"/>
              </w:rPr>
              <w:t>Technical Corrections to the 2016 Amendments to the 2013 Mortgage Servicing Rules Under the Real Estate Settlement Procedures Act (Regulation X) and the Truth in Lending Act (Regulation Z)</w:t>
            </w:r>
          </w:p>
        </w:tc>
        <w:tc>
          <w:tcPr>
            <w:tcW w:w="0" w:type="auto"/>
            <w:shd w:val="clear" w:color="auto" w:fill="E8F0F9"/>
            <w:tcMar>
              <w:top w:w="30" w:type="dxa"/>
              <w:left w:w="30" w:type="dxa"/>
              <w:bottom w:w="30" w:type="dxa"/>
              <w:right w:w="30" w:type="dxa"/>
            </w:tcMar>
            <w:vAlign w:val="center"/>
            <w:hideMark/>
          </w:tcPr>
          <w:p w:rsidR="006356B1" w:rsidRPr="006356B1" w:rsidRDefault="00281928" w:rsidP="006356B1">
            <w:pPr>
              <w:spacing w:after="0" w:line="240" w:lineRule="auto"/>
              <w:rPr>
                <w:rFonts w:ascii="Arial" w:eastAsia="Times New Roman" w:hAnsi="Arial" w:cs="Arial"/>
                <w:color w:val="000000"/>
                <w:sz w:val="18"/>
                <w:szCs w:val="18"/>
              </w:rPr>
            </w:pPr>
            <w:hyperlink r:id="rId67" w:history="1">
              <w:r w:rsidR="006356B1" w:rsidRPr="006356B1">
                <w:rPr>
                  <w:rFonts w:ascii="Arial" w:eastAsia="Times New Roman" w:hAnsi="Arial" w:cs="Arial"/>
                  <w:color w:val="0033FF"/>
                  <w:sz w:val="18"/>
                  <w:szCs w:val="18"/>
                  <w:u w:val="single"/>
                </w:rPr>
                <w:t>3170-AA74</w:t>
              </w:r>
            </w:hyperlink>
          </w:p>
        </w:tc>
      </w:tr>
    </w:tbl>
    <w:p w:rsidR="00305385" w:rsidRPr="00CA1ADD" w:rsidRDefault="00305385" w:rsidP="0052297A"/>
    <w:sectPr w:rsidR="00305385" w:rsidRPr="00CA1ADD" w:rsidSect="00C82D91">
      <w:headerReference w:type="default" r:id="rId68"/>
      <w:footerReference w:type="default" r:id="rId6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928" w:rsidRDefault="00281928" w:rsidP="009516FB">
      <w:pPr>
        <w:spacing w:after="0" w:line="240" w:lineRule="auto"/>
      </w:pPr>
      <w:r>
        <w:separator/>
      </w:r>
    </w:p>
  </w:endnote>
  <w:endnote w:type="continuationSeparator" w:id="0">
    <w:p w:rsidR="00281928" w:rsidRDefault="00281928" w:rsidP="0095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01B" w:rsidRDefault="0018601B" w:rsidP="009516FB">
    <w:pPr>
      <w:pStyle w:val="Footer"/>
      <w:jc w:val="right"/>
    </w:pPr>
    <w:r>
      <w:rPr>
        <w:noProof/>
      </w:rPr>
      <w:drawing>
        <wp:inline distT="0" distB="0" distL="0" distR="0" wp14:anchorId="7666BC11" wp14:editId="5E49D36E">
          <wp:extent cx="213360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13105"/>
                  </a:xfrm>
                  <a:prstGeom prst="rect">
                    <a:avLst/>
                  </a:prstGeom>
                  <a:noFill/>
                </pic:spPr>
              </pic:pic>
            </a:graphicData>
          </a:graphic>
        </wp:inline>
      </w:drawing>
    </w:r>
    <w:r>
      <w:t xml:space="preserve">                                                  Legislative Update 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928" w:rsidRDefault="00281928" w:rsidP="009516FB">
      <w:pPr>
        <w:spacing w:after="0" w:line="240" w:lineRule="auto"/>
      </w:pPr>
      <w:r>
        <w:separator/>
      </w:r>
    </w:p>
  </w:footnote>
  <w:footnote w:type="continuationSeparator" w:id="0">
    <w:p w:rsidR="00281928" w:rsidRDefault="00281928" w:rsidP="0095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199819"/>
      <w:docPartObj>
        <w:docPartGallery w:val="Page Numbers (Top of Page)"/>
        <w:docPartUnique/>
      </w:docPartObj>
    </w:sdtPr>
    <w:sdtEndPr>
      <w:rPr>
        <w:noProof/>
      </w:rPr>
    </w:sdtEndPr>
    <w:sdtContent>
      <w:p w:rsidR="0018601B" w:rsidRDefault="0018601B">
        <w:pPr>
          <w:pStyle w:val="Header"/>
          <w:jc w:val="right"/>
        </w:pPr>
        <w:r>
          <w:fldChar w:fldCharType="begin"/>
        </w:r>
        <w:r>
          <w:instrText xml:space="preserve"> PAGE   \* MERGEFORMAT </w:instrText>
        </w:r>
        <w:r>
          <w:fldChar w:fldCharType="separate"/>
        </w:r>
        <w:r w:rsidR="00F83CF7">
          <w:rPr>
            <w:noProof/>
          </w:rPr>
          <w:t>8</w:t>
        </w:r>
        <w:r>
          <w:rPr>
            <w:noProof/>
          </w:rPr>
          <w:fldChar w:fldCharType="end"/>
        </w:r>
      </w:p>
    </w:sdtContent>
  </w:sdt>
  <w:p w:rsidR="0018601B" w:rsidRDefault="00186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6EF"/>
    <w:multiLevelType w:val="multilevel"/>
    <w:tmpl w:val="C3AE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20100"/>
    <w:multiLevelType w:val="hybridMultilevel"/>
    <w:tmpl w:val="F42E4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E7D9B"/>
    <w:multiLevelType w:val="hybridMultilevel"/>
    <w:tmpl w:val="58F067C4"/>
    <w:lvl w:ilvl="0" w:tplc="141CB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3CB8"/>
    <w:multiLevelType w:val="hybridMultilevel"/>
    <w:tmpl w:val="6C348528"/>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F03A7"/>
    <w:multiLevelType w:val="hybridMultilevel"/>
    <w:tmpl w:val="8A8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75FE3"/>
    <w:multiLevelType w:val="hybridMultilevel"/>
    <w:tmpl w:val="D51E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B3667"/>
    <w:multiLevelType w:val="hybridMultilevel"/>
    <w:tmpl w:val="BE043168"/>
    <w:lvl w:ilvl="0" w:tplc="8D5A2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11F3F"/>
    <w:multiLevelType w:val="hybridMultilevel"/>
    <w:tmpl w:val="100C1B8E"/>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26A89"/>
    <w:multiLevelType w:val="multilevel"/>
    <w:tmpl w:val="9316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810930"/>
    <w:multiLevelType w:val="hybridMultilevel"/>
    <w:tmpl w:val="BE984502"/>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517DE"/>
    <w:multiLevelType w:val="multilevel"/>
    <w:tmpl w:val="9A8E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822BA"/>
    <w:multiLevelType w:val="hybridMultilevel"/>
    <w:tmpl w:val="C42A2EC0"/>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4"/>
  </w:num>
  <w:num w:numId="5">
    <w:abstractNumId w:val="8"/>
  </w:num>
  <w:num w:numId="6">
    <w:abstractNumId w:val="1"/>
  </w:num>
  <w:num w:numId="7">
    <w:abstractNumId w:val="7"/>
  </w:num>
  <w:num w:numId="8">
    <w:abstractNumId w:val="6"/>
  </w:num>
  <w:num w:numId="9">
    <w:abstractNumId w:val="11"/>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B2"/>
    <w:rsid w:val="00000F1C"/>
    <w:rsid w:val="00001E88"/>
    <w:rsid w:val="00011112"/>
    <w:rsid w:val="00011F26"/>
    <w:rsid w:val="00012AE5"/>
    <w:rsid w:val="00013BF9"/>
    <w:rsid w:val="00013FA8"/>
    <w:rsid w:val="00015DF3"/>
    <w:rsid w:val="00016A3D"/>
    <w:rsid w:val="000209E6"/>
    <w:rsid w:val="00023584"/>
    <w:rsid w:val="00025D51"/>
    <w:rsid w:val="000315CD"/>
    <w:rsid w:val="00033069"/>
    <w:rsid w:val="00035E46"/>
    <w:rsid w:val="00036A9E"/>
    <w:rsid w:val="0004395A"/>
    <w:rsid w:val="00050E93"/>
    <w:rsid w:val="00053D69"/>
    <w:rsid w:val="0005474C"/>
    <w:rsid w:val="00062373"/>
    <w:rsid w:val="00063529"/>
    <w:rsid w:val="000704A8"/>
    <w:rsid w:val="0007572E"/>
    <w:rsid w:val="000775AE"/>
    <w:rsid w:val="000A7D77"/>
    <w:rsid w:val="000B064B"/>
    <w:rsid w:val="000B58B1"/>
    <w:rsid w:val="000C57E2"/>
    <w:rsid w:val="000C6F62"/>
    <w:rsid w:val="000D2411"/>
    <w:rsid w:val="000E0E4E"/>
    <w:rsid w:val="000E1F7A"/>
    <w:rsid w:val="000E30F3"/>
    <w:rsid w:val="000E30FB"/>
    <w:rsid w:val="000F5081"/>
    <w:rsid w:val="001053D2"/>
    <w:rsid w:val="00105532"/>
    <w:rsid w:val="00105BF0"/>
    <w:rsid w:val="00113262"/>
    <w:rsid w:val="00114BD2"/>
    <w:rsid w:val="0012584F"/>
    <w:rsid w:val="001328C5"/>
    <w:rsid w:val="001371A1"/>
    <w:rsid w:val="00137A4B"/>
    <w:rsid w:val="00140848"/>
    <w:rsid w:val="00143775"/>
    <w:rsid w:val="00152E97"/>
    <w:rsid w:val="00154381"/>
    <w:rsid w:val="0015450F"/>
    <w:rsid w:val="00155503"/>
    <w:rsid w:val="00155BB2"/>
    <w:rsid w:val="00172B95"/>
    <w:rsid w:val="00173106"/>
    <w:rsid w:val="00174A57"/>
    <w:rsid w:val="00176A30"/>
    <w:rsid w:val="00176BAE"/>
    <w:rsid w:val="00182997"/>
    <w:rsid w:val="0018553E"/>
    <w:rsid w:val="0018601B"/>
    <w:rsid w:val="00186550"/>
    <w:rsid w:val="001924F5"/>
    <w:rsid w:val="0019373F"/>
    <w:rsid w:val="001B36FB"/>
    <w:rsid w:val="001B4818"/>
    <w:rsid w:val="001B4DB6"/>
    <w:rsid w:val="001C2463"/>
    <w:rsid w:val="001C24FB"/>
    <w:rsid w:val="001F2A05"/>
    <w:rsid w:val="001F4193"/>
    <w:rsid w:val="00201A42"/>
    <w:rsid w:val="00207316"/>
    <w:rsid w:val="00215590"/>
    <w:rsid w:val="00217B65"/>
    <w:rsid w:val="0022595F"/>
    <w:rsid w:val="00225F57"/>
    <w:rsid w:val="00233F19"/>
    <w:rsid w:val="002362A2"/>
    <w:rsid w:val="00242AD6"/>
    <w:rsid w:val="00251848"/>
    <w:rsid w:val="00261F16"/>
    <w:rsid w:val="002635E0"/>
    <w:rsid w:val="00265D6B"/>
    <w:rsid w:val="00272CD7"/>
    <w:rsid w:val="00274CDA"/>
    <w:rsid w:val="00281928"/>
    <w:rsid w:val="00294580"/>
    <w:rsid w:val="002A2AC6"/>
    <w:rsid w:val="002B082F"/>
    <w:rsid w:val="002B38F0"/>
    <w:rsid w:val="002B4E3D"/>
    <w:rsid w:val="002B6DAC"/>
    <w:rsid w:val="002C3090"/>
    <w:rsid w:val="002C4A0B"/>
    <w:rsid w:val="002D029F"/>
    <w:rsid w:val="002E109D"/>
    <w:rsid w:val="002F3DF3"/>
    <w:rsid w:val="002F4525"/>
    <w:rsid w:val="003011AF"/>
    <w:rsid w:val="003017B9"/>
    <w:rsid w:val="00305385"/>
    <w:rsid w:val="003245BB"/>
    <w:rsid w:val="00336022"/>
    <w:rsid w:val="00336C3F"/>
    <w:rsid w:val="00356321"/>
    <w:rsid w:val="0035707A"/>
    <w:rsid w:val="003632A8"/>
    <w:rsid w:val="00366CE9"/>
    <w:rsid w:val="0038010D"/>
    <w:rsid w:val="00394799"/>
    <w:rsid w:val="003A1E17"/>
    <w:rsid w:val="003A55AB"/>
    <w:rsid w:val="003B117B"/>
    <w:rsid w:val="003B2BCF"/>
    <w:rsid w:val="003B5637"/>
    <w:rsid w:val="003B5E21"/>
    <w:rsid w:val="003C0D33"/>
    <w:rsid w:val="003C29B7"/>
    <w:rsid w:val="003C7920"/>
    <w:rsid w:val="003D28DF"/>
    <w:rsid w:val="003D64B3"/>
    <w:rsid w:val="003E0302"/>
    <w:rsid w:val="003E2AD1"/>
    <w:rsid w:val="003E70C6"/>
    <w:rsid w:val="003F618F"/>
    <w:rsid w:val="004070E9"/>
    <w:rsid w:val="00413996"/>
    <w:rsid w:val="00422978"/>
    <w:rsid w:val="00423E3C"/>
    <w:rsid w:val="0042461E"/>
    <w:rsid w:val="004331F4"/>
    <w:rsid w:val="00433916"/>
    <w:rsid w:val="00435186"/>
    <w:rsid w:val="00441BEF"/>
    <w:rsid w:val="00443C0F"/>
    <w:rsid w:val="00444FFD"/>
    <w:rsid w:val="00445E61"/>
    <w:rsid w:val="0044667C"/>
    <w:rsid w:val="00451B34"/>
    <w:rsid w:val="00451DB7"/>
    <w:rsid w:val="00453DA0"/>
    <w:rsid w:val="0045483F"/>
    <w:rsid w:val="004629C9"/>
    <w:rsid w:val="004670B2"/>
    <w:rsid w:val="004801A3"/>
    <w:rsid w:val="0048047D"/>
    <w:rsid w:val="00494DA3"/>
    <w:rsid w:val="00495CD2"/>
    <w:rsid w:val="004B0CF2"/>
    <w:rsid w:val="004B1A12"/>
    <w:rsid w:val="004B4C3C"/>
    <w:rsid w:val="004B7407"/>
    <w:rsid w:val="004C2F31"/>
    <w:rsid w:val="004C4FD5"/>
    <w:rsid w:val="004D2631"/>
    <w:rsid w:val="004D5C8D"/>
    <w:rsid w:val="004E02B2"/>
    <w:rsid w:val="004E6E06"/>
    <w:rsid w:val="004F6A93"/>
    <w:rsid w:val="004F7B91"/>
    <w:rsid w:val="00502F4F"/>
    <w:rsid w:val="00503A84"/>
    <w:rsid w:val="00513A6B"/>
    <w:rsid w:val="005208A0"/>
    <w:rsid w:val="0052297A"/>
    <w:rsid w:val="00525941"/>
    <w:rsid w:val="00526961"/>
    <w:rsid w:val="005465C5"/>
    <w:rsid w:val="00562BB0"/>
    <w:rsid w:val="00570D75"/>
    <w:rsid w:val="0057444C"/>
    <w:rsid w:val="005908B4"/>
    <w:rsid w:val="005958A6"/>
    <w:rsid w:val="005A164C"/>
    <w:rsid w:val="005A2665"/>
    <w:rsid w:val="005A3D38"/>
    <w:rsid w:val="005B2EEA"/>
    <w:rsid w:val="005C072A"/>
    <w:rsid w:val="005D461B"/>
    <w:rsid w:val="005D4EA4"/>
    <w:rsid w:val="005F4AC9"/>
    <w:rsid w:val="005F4D1E"/>
    <w:rsid w:val="005F6C21"/>
    <w:rsid w:val="005F7105"/>
    <w:rsid w:val="00600018"/>
    <w:rsid w:val="006002DF"/>
    <w:rsid w:val="00603473"/>
    <w:rsid w:val="00605BAB"/>
    <w:rsid w:val="00615725"/>
    <w:rsid w:val="006264E4"/>
    <w:rsid w:val="00630088"/>
    <w:rsid w:val="00630275"/>
    <w:rsid w:val="00630DEC"/>
    <w:rsid w:val="00632317"/>
    <w:rsid w:val="00634CA3"/>
    <w:rsid w:val="006356B1"/>
    <w:rsid w:val="00643760"/>
    <w:rsid w:val="00644E58"/>
    <w:rsid w:val="006468AC"/>
    <w:rsid w:val="00651041"/>
    <w:rsid w:val="00652A21"/>
    <w:rsid w:val="006564E8"/>
    <w:rsid w:val="00664528"/>
    <w:rsid w:val="00667C6B"/>
    <w:rsid w:val="00671C4F"/>
    <w:rsid w:val="00671FE4"/>
    <w:rsid w:val="00672066"/>
    <w:rsid w:val="006908CC"/>
    <w:rsid w:val="00692031"/>
    <w:rsid w:val="00693EF2"/>
    <w:rsid w:val="00696DF2"/>
    <w:rsid w:val="006A0683"/>
    <w:rsid w:val="006A2918"/>
    <w:rsid w:val="006A7271"/>
    <w:rsid w:val="006B3DE0"/>
    <w:rsid w:val="006B67AC"/>
    <w:rsid w:val="006B6D03"/>
    <w:rsid w:val="006C0A16"/>
    <w:rsid w:val="006C3107"/>
    <w:rsid w:val="006D0C47"/>
    <w:rsid w:val="006D2DF4"/>
    <w:rsid w:val="006D4256"/>
    <w:rsid w:val="006E10DB"/>
    <w:rsid w:val="00704921"/>
    <w:rsid w:val="0070652F"/>
    <w:rsid w:val="007075BA"/>
    <w:rsid w:val="00710285"/>
    <w:rsid w:val="00711B89"/>
    <w:rsid w:val="007122A3"/>
    <w:rsid w:val="00714311"/>
    <w:rsid w:val="00734132"/>
    <w:rsid w:val="00734991"/>
    <w:rsid w:val="00747D22"/>
    <w:rsid w:val="0075139C"/>
    <w:rsid w:val="00753D11"/>
    <w:rsid w:val="0076011C"/>
    <w:rsid w:val="00766A8A"/>
    <w:rsid w:val="00766BE3"/>
    <w:rsid w:val="007761FF"/>
    <w:rsid w:val="00780EB2"/>
    <w:rsid w:val="0079268D"/>
    <w:rsid w:val="007A1759"/>
    <w:rsid w:val="007A49A6"/>
    <w:rsid w:val="007A4A48"/>
    <w:rsid w:val="007A78BD"/>
    <w:rsid w:val="007B2E65"/>
    <w:rsid w:val="007C7A17"/>
    <w:rsid w:val="007E2F0F"/>
    <w:rsid w:val="007E5A30"/>
    <w:rsid w:val="007F1644"/>
    <w:rsid w:val="007F444F"/>
    <w:rsid w:val="007F4EEC"/>
    <w:rsid w:val="0080103B"/>
    <w:rsid w:val="00804BDF"/>
    <w:rsid w:val="00806853"/>
    <w:rsid w:val="008111CC"/>
    <w:rsid w:val="0081242C"/>
    <w:rsid w:val="0082731E"/>
    <w:rsid w:val="00847BAF"/>
    <w:rsid w:val="00854729"/>
    <w:rsid w:val="008577CC"/>
    <w:rsid w:val="00857D6B"/>
    <w:rsid w:val="00860655"/>
    <w:rsid w:val="0086329F"/>
    <w:rsid w:val="00863C31"/>
    <w:rsid w:val="00864656"/>
    <w:rsid w:val="00870B44"/>
    <w:rsid w:val="0087131F"/>
    <w:rsid w:val="00871704"/>
    <w:rsid w:val="00873B59"/>
    <w:rsid w:val="008756E8"/>
    <w:rsid w:val="00881E57"/>
    <w:rsid w:val="008821F9"/>
    <w:rsid w:val="00886D2A"/>
    <w:rsid w:val="00891FE6"/>
    <w:rsid w:val="00897886"/>
    <w:rsid w:val="008A14C6"/>
    <w:rsid w:val="008B03E6"/>
    <w:rsid w:val="008B5C5C"/>
    <w:rsid w:val="008C7F59"/>
    <w:rsid w:val="008D2F1A"/>
    <w:rsid w:val="008D78E1"/>
    <w:rsid w:val="008D798D"/>
    <w:rsid w:val="008E19EA"/>
    <w:rsid w:val="008E28CB"/>
    <w:rsid w:val="008E296D"/>
    <w:rsid w:val="008E711C"/>
    <w:rsid w:val="0090200C"/>
    <w:rsid w:val="0091703E"/>
    <w:rsid w:val="00920A21"/>
    <w:rsid w:val="00924FE5"/>
    <w:rsid w:val="00925885"/>
    <w:rsid w:val="009322F0"/>
    <w:rsid w:val="00933EB4"/>
    <w:rsid w:val="009478D9"/>
    <w:rsid w:val="009516FB"/>
    <w:rsid w:val="00957814"/>
    <w:rsid w:val="009711D2"/>
    <w:rsid w:val="00980B64"/>
    <w:rsid w:val="00980C97"/>
    <w:rsid w:val="009837E4"/>
    <w:rsid w:val="00983CC0"/>
    <w:rsid w:val="00990BAD"/>
    <w:rsid w:val="00992B33"/>
    <w:rsid w:val="009937AD"/>
    <w:rsid w:val="0099690E"/>
    <w:rsid w:val="0099695C"/>
    <w:rsid w:val="009A5E71"/>
    <w:rsid w:val="009A716D"/>
    <w:rsid w:val="009A7FE9"/>
    <w:rsid w:val="009B25D5"/>
    <w:rsid w:val="009C467C"/>
    <w:rsid w:val="009C4E16"/>
    <w:rsid w:val="009C5026"/>
    <w:rsid w:val="009D0E2F"/>
    <w:rsid w:val="009E1BCF"/>
    <w:rsid w:val="009F00D3"/>
    <w:rsid w:val="00A03475"/>
    <w:rsid w:val="00A07BED"/>
    <w:rsid w:val="00A10A42"/>
    <w:rsid w:val="00A13CB2"/>
    <w:rsid w:val="00A367AD"/>
    <w:rsid w:val="00A371E4"/>
    <w:rsid w:val="00A54A69"/>
    <w:rsid w:val="00A731C9"/>
    <w:rsid w:val="00A770CD"/>
    <w:rsid w:val="00A775BA"/>
    <w:rsid w:val="00A807C0"/>
    <w:rsid w:val="00A809DC"/>
    <w:rsid w:val="00A81DA4"/>
    <w:rsid w:val="00A82B32"/>
    <w:rsid w:val="00A84002"/>
    <w:rsid w:val="00A8721F"/>
    <w:rsid w:val="00A96822"/>
    <w:rsid w:val="00A96B19"/>
    <w:rsid w:val="00A97370"/>
    <w:rsid w:val="00AB217B"/>
    <w:rsid w:val="00AC1EC4"/>
    <w:rsid w:val="00AC28C6"/>
    <w:rsid w:val="00AC6A22"/>
    <w:rsid w:val="00AD2397"/>
    <w:rsid w:val="00AD5A87"/>
    <w:rsid w:val="00AD5AFA"/>
    <w:rsid w:val="00AD6AF4"/>
    <w:rsid w:val="00AE3001"/>
    <w:rsid w:val="00AE3AA2"/>
    <w:rsid w:val="00AF302A"/>
    <w:rsid w:val="00AF6446"/>
    <w:rsid w:val="00B0179F"/>
    <w:rsid w:val="00B01B28"/>
    <w:rsid w:val="00B11197"/>
    <w:rsid w:val="00B1468E"/>
    <w:rsid w:val="00B1548D"/>
    <w:rsid w:val="00B2494D"/>
    <w:rsid w:val="00B34E2E"/>
    <w:rsid w:val="00B355D2"/>
    <w:rsid w:val="00B35870"/>
    <w:rsid w:val="00B440A3"/>
    <w:rsid w:val="00B52D08"/>
    <w:rsid w:val="00B532FB"/>
    <w:rsid w:val="00B623E9"/>
    <w:rsid w:val="00B66E90"/>
    <w:rsid w:val="00B67699"/>
    <w:rsid w:val="00B71928"/>
    <w:rsid w:val="00B819BC"/>
    <w:rsid w:val="00B95B4E"/>
    <w:rsid w:val="00B975E7"/>
    <w:rsid w:val="00BA5444"/>
    <w:rsid w:val="00BB1B58"/>
    <w:rsid w:val="00BB6B54"/>
    <w:rsid w:val="00BD479B"/>
    <w:rsid w:val="00BD5ADC"/>
    <w:rsid w:val="00BE0258"/>
    <w:rsid w:val="00BF0D7B"/>
    <w:rsid w:val="00C012BB"/>
    <w:rsid w:val="00C02DF2"/>
    <w:rsid w:val="00C0564A"/>
    <w:rsid w:val="00C12A79"/>
    <w:rsid w:val="00C15289"/>
    <w:rsid w:val="00C15E43"/>
    <w:rsid w:val="00C1691D"/>
    <w:rsid w:val="00C40D53"/>
    <w:rsid w:val="00C417A3"/>
    <w:rsid w:val="00C5176C"/>
    <w:rsid w:val="00C52445"/>
    <w:rsid w:val="00C53A07"/>
    <w:rsid w:val="00C56584"/>
    <w:rsid w:val="00C6554D"/>
    <w:rsid w:val="00C6732A"/>
    <w:rsid w:val="00C721DB"/>
    <w:rsid w:val="00C77CEE"/>
    <w:rsid w:val="00C82D91"/>
    <w:rsid w:val="00C83BE8"/>
    <w:rsid w:val="00C950B3"/>
    <w:rsid w:val="00CA0305"/>
    <w:rsid w:val="00CA1ADD"/>
    <w:rsid w:val="00CA2872"/>
    <w:rsid w:val="00CA675A"/>
    <w:rsid w:val="00CC43EC"/>
    <w:rsid w:val="00CC60FF"/>
    <w:rsid w:val="00CD1AC9"/>
    <w:rsid w:val="00CE1A73"/>
    <w:rsid w:val="00CE26B8"/>
    <w:rsid w:val="00CE778F"/>
    <w:rsid w:val="00CF22C2"/>
    <w:rsid w:val="00CF661F"/>
    <w:rsid w:val="00D06E2E"/>
    <w:rsid w:val="00D07FA6"/>
    <w:rsid w:val="00D1188B"/>
    <w:rsid w:val="00D121D2"/>
    <w:rsid w:val="00D12C32"/>
    <w:rsid w:val="00D25AD2"/>
    <w:rsid w:val="00D3009A"/>
    <w:rsid w:val="00D311E0"/>
    <w:rsid w:val="00D342C8"/>
    <w:rsid w:val="00D42123"/>
    <w:rsid w:val="00D4416D"/>
    <w:rsid w:val="00D55BF3"/>
    <w:rsid w:val="00D608FB"/>
    <w:rsid w:val="00D64643"/>
    <w:rsid w:val="00D830AA"/>
    <w:rsid w:val="00D84E99"/>
    <w:rsid w:val="00DB2422"/>
    <w:rsid w:val="00DB5E19"/>
    <w:rsid w:val="00DC082C"/>
    <w:rsid w:val="00DC094A"/>
    <w:rsid w:val="00DC5948"/>
    <w:rsid w:val="00DC71AF"/>
    <w:rsid w:val="00DD0103"/>
    <w:rsid w:val="00DD09C7"/>
    <w:rsid w:val="00DD1CB4"/>
    <w:rsid w:val="00DD3953"/>
    <w:rsid w:val="00DD3ABC"/>
    <w:rsid w:val="00DF0747"/>
    <w:rsid w:val="00DF483C"/>
    <w:rsid w:val="00E02279"/>
    <w:rsid w:val="00E06462"/>
    <w:rsid w:val="00E11D08"/>
    <w:rsid w:val="00E13DD7"/>
    <w:rsid w:val="00E31C1A"/>
    <w:rsid w:val="00E31E6D"/>
    <w:rsid w:val="00E51E01"/>
    <w:rsid w:val="00E5659B"/>
    <w:rsid w:val="00E60521"/>
    <w:rsid w:val="00E60F45"/>
    <w:rsid w:val="00E6563B"/>
    <w:rsid w:val="00E7520E"/>
    <w:rsid w:val="00E80D83"/>
    <w:rsid w:val="00E81DCB"/>
    <w:rsid w:val="00E84648"/>
    <w:rsid w:val="00E95C60"/>
    <w:rsid w:val="00EA7A23"/>
    <w:rsid w:val="00EB2BA8"/>
    <w:rsid w:val="00EC5CB5"/>
    <w:rsid w:val="00ED793F"/>
    <w:rsid w:val="00EE477C"/>
    <w:rsid w:val="00EF1DD3"/>
    <w:rsid w:val="00EF618B"/>
    <w:rsid w:val="00F026C4"/>
    <w:rsid w:val="00F02739"/>
    <w:rsid w:val="00F04513"/>
    <w:rsid w:val="00F059BB"/>
    <w:rsid w:val="00F067FC"/>
    <w:rsid w:val="00F2538A"/>
    <w:rsid w:val="00F26504"/>
    <w:rsid w:val="00F26D48"/>
    <w:rsid w:val="00F43456"/>
    <w:rsid w:val="00F443AC"/>
    <w:rsid w:val="00F507E6"/>
    <w:rsid w:val="00F517EF"/>
    <w:rsid w:val="00F55547"/>
    <w:rsid w:val="00F628F8"/>
    <w:rsid w:val="00F6705E"/>
    <w:rsid w:val="00F7041B"/>
    <w:rsid w:val="00F76BD4"/>
    <w:rsid w:val="00F83CF7"/>
    <w:rsid w:val="00F8598C"/>
    <w:rsid w:val="00F90EDC"/>
    <w:rsid w:val="00F964D3"/>
    <w:rsid w:val="00F970CC"/>
    <w:rsid w:val="00FA16B3"/>
    <w:rsid w:val="00FA7669"/>
    <w:rsid w:val="00FC005D"/>
    <w:rsid w:val="00FC1B53"/>
    <w:rsid w:val="00FC4C42"/>
    <w:rsid w:val="00FC60FC"/>
    <w:rsid w:val="00FD3FF3"/>
    <w:rsid w:val="00FD690C"/>
    <w:rsid w:val="00FE2F01"/>
    <w:rsid w:val="00FF3D8B"/>
    <w:rsid w:val="00FF7353"/>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21763"/>
  <w15:docId w15:val="{BA0B5738-5880-4AB4-A1B5-C2C633F0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0B2"/>
    <w:rPr>
      <w:rFonts w:eastAsiaTheme="minorEastAsia"/>
    </w:rPr>
  </w:style>
  <w:style w:type="paragraph" w:styleId="Heading2">
    <w:name w:val="heading 2"/>
    <w:basedOn w:val="Normal"/>
    <w:next w:val="Normal"/>
    <w:link w:val="Heading2Char"/>
    <w:uiPriority w:val="9"/>
    <w:semiHidden/>
    <w:unhideWhenUsed/>
    <w:qFormat/>
    <w:rsid w:val="000330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7E5A30"/>
    <w:pPr>
      <w:spacing w:before="75" w:after="75"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B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0B2"/>
    <w:rPr>
      <w:color w:val="0000FF" w:themeColor="hyperlink"/>
      <w:u w:val="single"/>
    </w:rPr>
  </w:style>
  <w:style w:type="character" w:customStyle="1" w:styleId="h31">
    <w:name w:val="h31"/>
    <w:basedOn w:val="DefaultParagraphFont"/>
    <w:rsid w:val="00DB2422"/>
    <w:rPr>
      <w:rFonts w:ascii="Arial Black" w:hAnsi="Arial Black" w:hint="default"/>
      <w:b w:val="0"/>
      <w:bCs w:val="0"/>
      <w:color w:val="000000"/>
      <w:sz w:val="24"/>
      <w:szCs w:val="24"/>
    </w:rPr>
  </w:style>
  <w:style w:type="paragraph" w:styleId="NormalWeb">
    <w:name w:val="Normal (Web)"/>
    <w:basedOn w:val="Normal"/>
    <w:uiPriority w:val="99"/>
    <w:unhideWhenUsed/>
    <w:rsid w:val="00F555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1A12"/>
    <w:rPr>
      <w:color w:val="800080" w:themeColor="followedHyperlink"/>
      <w:u w:val="single"/>
    </w:rPr>
  </w:style>
  <w:style w:type="character" w:styleId="Strong">
    <w:name w:val="Strong"/>
    <w:basedOn w:val="DefaultParagraphFont"/>
    <w:uiPriority w:val="22"/>
    <w:qFormat/>
    <w:rsid w:val="00F02739"/>
    <w:rPr>
      <w:b/>
      <w:bCs/>
    </w:rPr>
  </w:style>
  <w:style w:type="paragraph" w:styleId="BalloonText">
    <w:name w:val="Balloon Text"/>
    <w:basedOn w:val="Normal"/>
    <w:link w:val="BalloonTextChar"/>
    <w:uiPriority w:val="99"/>
    <w:semiHidden/>
    <w:unhideWhenUsed/>
    <w:rsid w:val="00951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FB"/>
    <w:rPr>
      <w:rFonts w:ascii="Tahoma" w:eastAsiaTheme="minorEastAsia" w:hAnsi="Tahoma" w:cs="Tahoma"/>
      <w:sz w:val="16"/>
      <w:szCs w:val="16"/>
    </w:rPr>
  </w:style>
  <w:style w:type="paragraph" w:styleId="Header">
    <w:name w:val="header"/>
    <w:basedOn w:val="Normal"/>
    <w:link w:val="HeaderChar"/>
    <w:uiPriority w:val="99"/>
    <w:unhideWhenUsed/>
    <w:rsid w:val="0095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FB"/>
    <w:rPr>
      <w:rFonts w:eastAsiaTheme="minorEastAsia"/>
    </w:rPr>
  </w:style>
  <w:style w:type="paragraph" w:styleId="Footer">
    <w:name w:val="footer"/>
    <w:basedOn w:val="Normal"/>
    <w:link w:val="FooterChar"/>
    <w:uiPriority w:val="99"/>
    <w:unhideWhenUsed/>
    <w:rsid w:val="0095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FB"/>
    <w:rPr>
      <w:rFonts w:eastAsiaTheme="minorEastAsia"/>
    </w:rPr>
  </w:style>
  <w:style w:type="character" w:customStyle="1" w:styleId="volume">
    <w:name w:val="volume"/>
    <w:basedOn w:val="DefaultParagraphFont"/>
    <w:rsid w:val="00C1691D"/>
  </w:style>
  <w:style w:type="character" w:customStyle="1" w:styleId="page">
    <w:name w:val="page"/>
    <w:basedOn w:val="DefaultParagraphFont"/>
    <w:rsid w:val="00C1691D"/>
  </w:style>
  <w:style w:type="paragraph" w:styleId="ListParagraph">
    <w:name w:val="List Paragraph"/>
    <w:basedOn w:val="Normal"/>
    <w:uiPriority w:val="34"/>
    <w:qFormat/>
    <w:rsid w:val="00356321"/>
    <w:pPr>
      <w:ind w:left="720"/>
      <w:contextualSpacing/>
    </w:pPr>
  </w:style>
  <w:style w:type="character" w:styleId="CommentReference">
    <w:name w:val="annotation reference"/>
    <w:basedOn w:val="DefaultParagraphFont"/>
    <w:uiPriority w:val="99"/>
    <w:semiHidden/>
    <w:unhideWhenUsed/>
    <w:rsid w:val="00C950B3"/>
    <w:rPr>
      <w:sz w:val="16"/>
      <w:szCs w:val="16"/>
    </w:rPr>
  </w:style>
  <w:style w:type="paragraph" w:styleId="CommentText">
    <w:name w:val="annotation text"/>
    <w:basedOn w:val="Normal"/>
    <w:link w:val="CommentTextChar"/>
    <w:uiPriority w:val="99"/>
    <w:semiHidden/>
    <w:unhideWhenUsed/>
    <w:rsid w:val="00C950B3"/>
    <w:pPr>
      <w:spacing w:line="240" w:lineRule="auto"/>
    </w:pPr>
    <w:rPr>
      <w:sz w:val="20"/>
      <w:szCs w:val="20"/>
    </w:rPr>
  </w:style>
  <w:style w:type="character" w:customStyle="1" w:styleId="CommentTextChar">
    <w:name w:val="Comment Text Char"/>
    <w:basedOn w:val="DefaultParagraphFont"/>
    <w:link w:val="CommentText"/>
    <w:uiPriority w:val="99"/>
    <w:semiHidden/>
    <w:rsid w:val="00C950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50B3"/>
    <w:rPr>
      <w:b/>
      <w:bCs/>
    </w:rPr>
  </w:style>
  <w:style w:type="character" w:customStyle="1" w:styleId="CommentSubjectChar">
    <w:name w:val="Comment Subject Char"/>
    <w:basedOn w:val="CommentTextChar"/>
    <w:link w:val="CommentSubject"/>
    <w:uiPriority w:val="99"/>
    <w:semiHidden/>
    <w:rsid w:val="00C950B3"/>
    <w:rPr>
      <w:rFonts w:eastAsiaTheme="minorEastAsia"/>
      <w:b/>
      <w:bCs/>
      <w:sz w:val="20"/>
      <w:szCs w:val="20"/>
    </w:rPr>
  </w:style>
  <w:style w:type="character" w:customStyle="1" w:styleId="apple-converted-space">
    <w:name w:val="apple-converted-space"/>
    <w:basedOn w:val="DefaultParagraphFont"/>
    <w:rsid w:val="007761FF"/>
  </w:style>
  <w:style w:type="character" w:customStyle="1" w:styleId="Heading4Char">
    <w:name w:val="Heading 4 Char"/>
    <w:basedOn w:val="DefaultParagraphFont"/>
    <w:link w:val="Heading4"/>
    <w:uiPriority w:val="9"/>
    <w:rsid w:val="007E5A30"/>
    <w:rPr>
      <w:rFonts w:ascii="Times New Roman" w:eastAsia="Times New Roman" w:hAnsi="Times New Roman" w:cs="Times New Roman"/>
      <w:b/>
      <w:bCs/>
      <w:sz w:val="24"/>
      <w:szCs w:val="24"/>
    </w:rPr>
  </w:style>
  <w:style w:type="character" w:styleId="Emphasis">
    <w:name w:val="Emphasis"/>
    <w:basedOn w:val="DefaultParagraphFont"/>
    <w:uiPriority w:val="20"/>
    <w:qFormat/>
    <w:rsid w:val="008E19EA"/>
    <w:rPr>
      <w:i/>
      <w:iCs/>
    </w:rPr>
  </w:style>
  <w:style w:type="character" w:customStyle="1" w:styleId="Heading2Char">
    <w:name w:val="Heading 2 Char"/>
    <w:basedOn w:val="DefaultParagraphFont"/>
    <w:link w:val="Heading2"/>
    <w:uiPriority w:val="9"/>
    <w:semiHidden/>
    <w:rsid w:val="00033069"/>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semiHidden/>
    <w:unhideWhenUsed/>
    <w:rsid w:val="000E30FB"/>
    <w:rPr>
      <w:color w:val="2B579A"/>
      <w:shd w:val="clear" w:color="auto" w:fill="E6E6E6"/>
    </w:rPr>
  </w:style>
  <w:style w:type="character" w:styleId="UnresolvedMention">
    <w:name w:val="Unresolved Mention"/>
    <w:basedOn w:val="DefaultParagraphFont"/>
    <w:uiPriority w:val="99"/>
    <w:semiHidden/>
    <w:unhideWhenUsed/>
    <w:rsid w:val="00011F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969">
      <w:bodyDiv w:val="1"/>
      <w:marLeft w:val="0"/>
      <w:marRight w:val="0"/>
      <w:marTop w:val="0"/>
      <w:marBottom w:val="0"/>
      <w:divBdr>
        <w:top w:val="none" w:sz="0" w:space="0" w:color="auto"/>
        <w:left w:val="none" w:sz="0" w:space="0" w:color="auto"/>
        <w:bottom w:val="none" w:sz="0" w:space="0" w:color="auto"/>
        <w:right w:val="none" w:sz="0" w:space="0" w:color="auto"/>
      </w:divBdr>
      <w:divsChild>
        <w:div w:id="922839204">
          <w:marLeft w:val="0"/>
          <w:marRight w:val="0"/>
          <w:marTop w:val="0"/>
          <w:marBottom w:val="0"/>
          <w:divBdr>
            <w:top w:val="none" w:sz="0" w:space="0" w:color="auto"/>
            <w:left w:val="none" w:sz="0" w:space="0" w:color="auto"/>
            <w:bottom w:val="none" w:sz="0" w:space="0" w:color="auto"/>
            <w:right w:val="none" w:sz="0" w:space="0" w:color="auto"/>
          </w:divBdr>
          <w:divsChild>
            <w:div w:id="1075711462">
              <w:marLeft w:val="0"/>
              <w:marRight w:val="0"/>
              <w:marTop w:val="0"/>
              <w:marBottom w:val="0"/>
              <w:divBdr>
                <w:top w:val="none" w:sz="0" w:space="0" w:color="auto"/>
                <w:left w:val="none" w:sz="0" w:space="0" w:color="auto"/>
                <w:bottom w:val="none" w:sz="0" w:space="0" w:color="auto"/>
                <w:right w:val="none" w:sz="0" w:space="0" w:color="auto"/>
              </w:divBdr>
              <w:divsChild>
                <w:div w:id="921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040">
      <w:bodyDiv w:val="1"/>
      <w:marLeft w:val="0"/>
      <w:marRight w:val="0"/>
      <w:marTop w:val="0"/>
      <w:marBottom w:val="0"/>
      <w:divBdr>
        <w:top w:val="none" w:sz="0" w:space="0" w:color="auto"/>
        <w:left w:val="none" w:sz="0" w:space="0" w:color="auto"/>
        <w:bottom w:val="none" w:sz="0" w:space="0" w:color="auto"/>
        <w:right w:val="none" w:sz="0" w:space="0" w:color="auto"/>
      </w:divBdr>
    </w:div>
    <w:div w:id="1038554086">
      <w:bodyDiv w:val="1"/>
      <w:marLeft w:val="0"/>
      <w:marRight w:val="0"/>
      <w:marTop w:val="0"/>
      <w:marBottom w:val="0"/>
      <w:divBdr>
        <w:top w:val="none" w:sz="0" w:space="0" w:color="auto"/>
        <w:left w:val="none" w:sz="0" w:space="0" w:color="auto"/>
        <w:bottom w:val="none" w:sz="0" w:space="0" w:color="auto"/>
        <w:right w:val="none" w:sz="0" w:space="0" w:color="auto"/>
      </w:divBdr>
    </w:div>
    <w:div w:id="1131436610">
      <w:bodyDiv w:val="1"/>
      <w:marLeft w:val="0"/>
      <w:marRight w:val="0"/>
      <w:marTop w:val="0"/>
      <w:marBottom w:val="0"/>
      <w:divBdr>
        <w:top w:val="none" w:sz="0" w:space="0" w:color="auto"/>
        <w:left w:val="none" w:sz="0" w:space="0" w:color="auto"/>
        <w:bottom w:val="none" w:sz="0" w:space="0" w:color="auto"/>
        <w:right w:val="none" w:sz="0" w:space="0" w:color="auto"/>
      </w:divBdr>
    </w:div>
    <w:div w:id="12817193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331">
          <w:marLeft w:val="0"/>
          <w:marRight w:val="0"/>
          <w:marTop w:val="0"/>
          <w:marBottom w:val="0"/>
          <w:divBdr>
            <w:top w:val="none" w:sz="0" w:space="0" w:color="auto"/>
            <w:left w:val="none" w:sz="0" w:space="0" w:color="auto"/>
            <w:bottom w:val="none" w:sz="0" w:space="0" w:color="auto"/>
            <w:right w:val="none" w:sz="0" w:space="0" w:color="auto"/>
          </w:divBdr>
          <w:divsChild>
            <w:div w:id="2032880664">
              <w:marLeft w:val="0"/>
              <w:marRight w:val="0"/>
              <w:marTop w:val="0"/>
              <w:marBottom w:val="0"/>
              <w:divBdr>
                <w:top w:val="none" w:sz="0" w:space="0" w:color="auto"/>
                <w:left w:val="none" w:sz="0" w:space="0" w:color="auto"/>
                <w:bottom w:val="none" w:sz="0" w:space="0" w:color="auto"/>
                <w:right w:val="none" w:sz="0" w:space="0" w:color="auto"/>
              </w:divBdr>
              <w:divsChild>
                <w:div w:id="178088457">
                  <w:marLeft w:val="0"/>
                  <w:marRight w:val="0"/>
                  <w:marTop w:val="0"/>
                  <w:marBottom w:val="0"/>
                  <w:divBdr>
                    <w:top w:val="none" w:sz="0" w:space="0" w:color="auto"/>
                    <w:left w:val="none" w:sz="0" w:space="0" w:color="auto"/>
                    <w:bottom w:val="none" w:sz="0" w:space="0" w:color="auto"/>
                    <w:right w:val="none" w:sz="0" w:space="0" w:color="auto"/>
                  </w:divBdr>
                  <w:divsChild>
                    <w:div w:id="606960972">
                      <w:marLeft w:val="0"/>
                      <w:marRight w:val="0"/>
                      <w:marTop w:val="0"/>
                      <w:marBottom w:val="0"/>
                      <w:divBdr>
                        <w:top w:val="none" w:sz="0" w:space="0" w:color="auto"/>
                        <w:left w:val="none" w:sz="0" w:space="0" w:color="auto"/>
                        <w:bottom w:val="none" w:sz="0" w:space="0" w:color="auto"/>
                        <w:right w:val="none" w:sz="0" w:space="0" w:color="auto"/>
                      </w:divBdr>
                      <w:divsChild>
                        <w:div w:id="1576553154">
                          <w:marLeft w:val="0"/>
                          <w:marRight w:val="0"/>
                          <w:marTop w:val="0"/>
                          <w:marBottom w:val="0"/>
                          <w:divBdr>
                            <w:top w:val="none" w:sz="0" w:space="0" w:color="auto"/>
                            <w:left w:val="none" w:sz="0" w:space="0" w:color="auto"/>
                            <w:bottom w:val="none" w:sz="0" w:space="0" w:color="auto"/>
                            <w:right w:val="none" w:sz="0" w:space="0" w:color="auto"/>
                          </w:divBdr>
                          <w:divsChild>
                            <w:div w:id="1304117915">
                              <w:marLeft w:val="0"/>
                              <w:marRight w:val="0"/>
                              <w:marTop w:val="0"/>
                              <w:marBottom w:val="0"/>
                              <w:divBdr>
                                <w:top w:val="none" w:sz="0" w:space="0" w:color="auto"/>
                                <w:left w:val="none" w:sz="0" w:space="0" w:color="auto"/>
                                <w:bottom w:val="none" w:sz="0" w:space="0" w:color="auto"/>
                                <w:right w:val="none" w:sz="0" w:space="0" w:color="auto"/>
                              </w:divBdr>
                              <w:divsChild>
                                <w:div w:id="309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423611">
      <w:bodyDiv w:val="1"/>
      <w:marLeft w:val="0"/>
      <w:marRight w:val="0"/>
      <w:marTop w:val="0"/>
      <w:marBottom w:val="0"/>
      <w:divBdr>
        <w:top w:val="none" w:sz="0" w:space="0" w:color="auto"/>
        <w:left w:val="none" w:sz="0" w:space="0" w:color="auto"/>
        <w:bottom w:val="none" w:sz="0" w:space="0" w:color="auto"/>
        <w:right w:val="none" w:sz="0" w:space="0" w:color="auto"/>
      </w:divBdr>
      <w:divsChild>
        <w:div w:id="395981390">
          <w:marLeft w:val="0"/>
          <w:marRight w:val="0"/>
          <w:marTop w:val="0"/>
          <w:marBottom w:val="0"/>
          <w:divBdr>
            <w:top w:val="none" w:sz="0" w:space="0" w:color="auto"/>
            <w:left w:val="none" w:sz="0" w:space="0" w:color="auto"/>
            <w:bottom w:val="none" w:sz="0" w:space="0" w:color="auto"/>
            <w:right w:val="none" w:sz="0" w:space="0" w:color="auto"/>
          </w:divBdr>
          <w:divsChild>
            <w:div w:id="1714187619">
              <w:marLeft w:val="0"/>
              <w:marRight w:val="0"/>
              <w:marTop w:val="0"/>
              <w:marBottom w:val="0"/>
              <w:divBdr>
                <w:top w:val="none" w:sz="0" w:space="0" w:color="auto"/>
                <w:left w:val="none" w:sz="0" w:space="0" w:color="auto"/>
                <w:bottom w:val="none" w:sz="0" w:space="0" w:color="auto"/>
                <w:right w:val="none" w:sz="0" w:space="0" w:color="auto"/>
              </w:divBdr>
              <w:divsChild>
                <w:div w:id="950818791">
                  <w:marLeft w:val="0"/>
                  <w:marRight w:val="0"/>
                  <w:marTop w:val="0"/>
                  <w:marBottom w:val="0"/>
                  <w:divBdr>
                    <w:top w:val="none" w:sz="0" w:space="0" w:color="auto"/>
                    <w:left w:val="none" w:sz="0" w:space="0" w:color="auto"/>
                    <w:bottom w:val="none" w:sz="0" w:space="0" w:color="auto"/>
                    <w:right w:val="none" w:sz="0" w:space="0" w:color="auto"/>
                  </w:divBdr>
                  <w:divsChild>
                    <w:div w:id="974409441">
                      <w:marLeft w:val="0"/>
                      <w:marRight w:val="0"/>
                      <w:marTop w:val="0"/>
                      <w:marBottom w:val="0"/>
                      <w:divBdr>
                        <w:top w:val="none" w:sz="0" w:space="0" w:color="auto"/>
                        <w:left w:val="none" w:sz="0" w:space="0" w:color="auto"/>
                        <w:bottom w:val="none" w:sz="0" w:space="0" w:color="auto"/>
                        <w:right w:val="none" w:sz="0" w:space="0" w:color="auto"/>
                      </w:divBdr>
                      <w:divsChild>
                        <w:div w:id="290788251">
                          <w:marLeft w:val="0"/>
                          <w:marRight w:val="0"/>
                          <w:marTop w:val="0"/>
                          <w:marBottom w:val="0"/>
                          <w:divBdr>
                            <w:top w:val="none" w:sz="0" w:space="0" w:color="auto"/>
                            <w:left w:val="none" w:sz="0" w:space="0" w:color="auto"/>
                            <w:bottom w:val="none" w:sz="0" w:space="0" w:color="auto"/>
                            <w:right w:val="none" w:sz="0" w:space="0" w:color="auto"/>
                          </w:divBdr>
                          <w:divsChild>
                            <w:div w:id="344748247">
                              <w:marLeft w:val="0"/>
                              <w:marRight w:val="0"/>
                              <w:marTop w:val="0"/>
                              <w:marBottom w:val="0"/>
                              <w:divBdr>
                                <w:top w:val="none" w:sz="0" w:space="0" w:color="auto"/>
                                <w:left w:val="none" w:sz="0" w:space="0" w:color="auto"/>
                                <w:bottom w:val="none" w:sz="0" w:space="0" w:color="auto"/>
                                <w:right w:val="none" w:sz="0" w:space="0" w:color="auto"/>
                              </w:divBdr>
                              <w:divsChild>
                                <w:div w:id="2030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69098">
      <w:bodyDiv w:val="1"/>
      <w:marLeft w:val="0"/>
      <w:marRight w:val="0"/>
      <w:marTop w:val="0"/>
      <w:marBottom w:val="0"/>
      <w:divBdr>
        <w:top w:val="none" w:sz="0" w:space="0" w:color="auto"/>
        <w:left w:val="none" w:sz="0" w:space="0" w:color="auto"/>
        <w:bottom w:val="none" w:sz="0" w:space="0" w:color="auto"/>
        <w:right w:val="none" w:sz="0" w:space="0" w:color="auto"/>
      </w:divBdr>
    </w:div>
    <w:div w:id="1966546466">
      <w:bodyDiv w:val="1"/>
      <w:marLeft w:val="0"/>
      <w:marRight w:val="0"/>
      <w:marTop w:val="0"/>
      <w:marBottom w:val="0"/>
      <w:divBdr>
        <w:top w:val="none" w:sz="0" w:space="0" w:color="auto"/>
        <w:left w:val="none" w:sz="0" w:space="0" w:color="auto"/>
        <w:bottom w:val="none" w:sz="0" w:space="0" w:color="auto"/>
        <w:right w:val="none" w:sz="0" w:space="0" w:color="auto"/>
      </w:divBdr>
    </w:div>
    <w:div w:id="2126658609">
      <w:bodyDiv w:val="1"/>
      <w:marLeft w:val="0"/>
      <w:marRight w:val="0"/>
      <w:marTop w:val="0"/>
      <w:marBottom w:val="0"/>
      <w:divBdr>
        <w:top w:val="none" w:sz="0" w:space="0" w:color="auto"/>
        <w:left w:val="none" w:sz="0" w:space="0" w:color="auto"/>
        <w:bottom w:val="none" w:sz="0" w:space="0" w:color="auto"/>
        <w:right w:val="none" w:sz="0" w:space="0" w:color="auto"/>
      </w:divBdr>
      <w:divsChild>
        <w:div w:id="32313562">
          <w:marLeft w:val="0"/>
          <w:marRight w:val="0"/>
          <w:marTop w:val="0"/>
          <w:marBottom w:val="0"/>
          <w:divBdr>
            <w:top w:val="none" w:sz="0" w:space="0" w:color="auto"/>
            <w:left w:val="none" w:sz="0" w:space="0" w:color="auto"/>
            <w:bottom w:val="none" w:sz="0" w:space="0" w:color="auto"/>
            <w:right w:val="none" w:sz="0" w:space="0" w:color="auto"/>
          </w:divBdr>
          <w:divsChild>
            <w:div w:id="1189754370">
              <w:marLeft w:val="0"/>
              <w:marRight w:val="0"/>
              <w:marTop w:val="0"/>
              <w:marBottom w:val="0"/>
              <w:divBdr>
                <w:top w:val="none" w:sz="0" w:space="0" w:color="auto"/>
                <w:left w:val="none" w:sz="0" w:space="0" w:color="auto"/>
                <w:bottom w:val="none" w:sz="0" w:space="0" w:color="auto"/>
                <w:right w:val="none" w:sz="0" w:space="0" w:color="auto"/>
              </w:divBdr>
              <w:divsChild>
                <w:div w:id="1180894927">
                  <w:marLeft w:val="0"/>
                  <w:marRight w:val="0"/>
                  <w:marTop w:val="0"/>
                  <w:marBottom w:val="0"/>
                  <w:divBdr>
                    <w:top w:val="none" w:sz="0" w:space="12" w:color="auto"/>
                    <w:left w:val="none" w:sz="0" w:space="12" w:color="auto"/>
                    <w:bottom w:val="none" w:sz="0" w:space="12" w:color="auto"/>
                    <w:right w:val="none" w:sz="0" w:space="12" w:color="auto"/>
                  </w:divBdr>
                  <w:divsChild>
                    <w:div w:id="959186276">
                      <w:marLeft w:val="0"/>
                      <w:marRight w:val="0"/>
                      <w:marTop w:val="0"/>
                      <w:marBottom w:val="0"/>
                      <w:divBdr>
                        <w:top w:val="none" w:sz="0" w:space="12" w:color="auto"/>
                        <w:left w:val="none" w:sz="0" w:space="12" w:color="auto"/>
                        <w:bottom w:val="none" w:sz="0" w:space="12" w:color="auto"/>
                        <w:right w:val="none" w:sz="0" w:space="12" w:color="auto"/>
                      </w:divBdr>
                      <w:divsChild>
                        <w:div w:id="2033023296">
                          <w:marLeft w:val="0"/>
                          <w:marRight w:val="0"/>
                          <w:marTop w:val="0"/>
                          <w:marBottom w:val="0"/>
                          <w:divBdr>
                            <w:top w:val="none" w:sz="0" w:space="0" w:color="auto"/>
                            <w:left w:val="none" w:sz="0" w:space="0" w:color="auto"/>
                            <w:bottom w:val="none" w:sz="0" w:space="0" w:color="auto"/>
                            <w:right w:val="none" w:sz="0" w:space="0" w:color="auto"/>
                          </w:divBdr>
                          <w:divsChild>
                            <w:div w:id="1735010346">
                              <w:marLeft w:val="-225"/>
                              <w:marRight w:val="-225"/>
                              <w:marTop w:val="0"/>
                              <w:marBottom w:val="0"/>
                              <w:divBdr>
                                <w:top w:val="none" w:sz="0" w:space="0" w:color="auto"/>
                                <w:left w:val="none" w:sz="0" w:space="0" w:color="auto"/>
                                <w:bottom w:val="none" w:sz="0" w:space="0" w:color="auto"/>
                                <w:right w:val="none" w:sz="0" w:space="0" w:color="auto"/>
                              </w:divBdr>
                              <w:divsChild>
                                <w:div w:id="182405104">
                                  <w:marLeft w:val="0"/>
                                  <w:marRight w:val="0"/>
                                  <w:marTop w:val="0"/>
                                  <w:marBottom w:val="0"/>
                                  <w:divBdr>
                                    <w:top w:val="none" w:sz="0" w:space="0" w:color="auto"/>
                                    <w:left w:val="none" w:sz="0" w:space="0" w:color="auto"/>
                                    <w:bottom w:val="none" w:sz="0" w:space="0" w:color="auto"/>
                                    <w:right w:val="none" w:sz="0" w:space="0" w:color="auto"/>
                                  </w:divBdr>
                                  <w:divsChild>
                                    <w:div w:id="1836257868">
                                      <w:marLeft w:val="0"/>
                                      <w:marRight w:val="0"/>
                                      <w:marTop w:val="0"/>
                                      <w:marBottom w:val="0"/>
                                      <w:divBdr>
                                        <w:top w:val="none" w:sz="0" w:space="0" w:color="auto"/>
                                        <w:left w:val="none" w:sz="0" w:space="0" w:color="auto"/>
                                        <w:bottom w:val="none" w:sz="0" w:space="0" w:color="auto"/>
                                        <w:right w:val="none" w:sz="0" w:space="0" w:color="auto"/>
                                      </w:divBdr>
                                      <w:divsChild>
                                        <w:div w:id="788091041">
                                          <w:marLeft w:val="-225"/>
                                          <w:marRight w:val="-225"/>
                                          <w:marTop w:val="0"/>
                                          <w:marBottom w:val="0"/>
                                          <w:divBdr>
                                            <w:top w:val="none" w:sz="0" w:space="0" w:color="auto"/>
                                            <w:left w:val="none" w:sz="0" w:space="0" w:color="auto"/>
                                            <w:bottom w:val="none" w:sz="0" w:space="0" w:color="auto"/>
                                            <w:right w:val="none" w:sz="0" w:space="0" w:color="auto"/>
                                          </w:divBdr>
                                          <w:divsChild>
                                            <w:div w:id="897203052">
                                              <w:marLeft w:val="0"/>
                                              <w:marRight w:val="0"/>
                                              <w:marTop w:val="0"/>
                                              <w:marBottom w:val="0"/>
                                              <w:divBdr>
                                                <w:top w:val="none" w:sz="0" w:space="0" w:color="auto"/>
                                                <w:left w:val="none" w:sz="0" w:space="0" w:color="auto"/>
                                                <w:bottom w:val="none" w:sz="0" w:space="0" w:color="auto"/>
                                                <w:right w:val="none" w:sz="0" w:space="0" w:color="auto"/>
                                              </w:divBdr>
                                            </w:div>
                                          </w:divsChild>
                                        </w:div>
                                        <w:div w:id="1565870029">
                                          <w:marLeft w:val="-225"/>
                                          <w:marRight w:val="-225"/>
                                          <w:marTop w:val="0"/>
                                          <w:marBottom w:val="0"/>
                                          <w:divBdr>
                                            <w:top w:val="none" w:sz="0" w:space="0" w:color="auto"/>
                                            <w:left w:val="none" w:sz="0" w:space="0" w:color="auto"/>
                                            <w:bottom w:val="none" w:sz="0" w:space="0" w:color="auto"/>
                                            <w:right w:val="none" w:sz="0" w:space="0" w:color="auto"/>
                                          </w:divBdr>
                                          <w:divsChild>
                                            <w:div w:id="1264414173">
                                              <w:marLeft w:val="0"/>
                                              <w:marRight w:val="0"/>
                                              <w:marTop w:val="0"/>
                                              <w:marBottom w:val="0"/>
                                              <w:divBdr>
                                                <w:top w:val="none" w:sz="0" w:space="0" w:color="auto"/>
                                                <w:left w:val="none" w:sz="0" w:space="0" w:color="auto"/>
                                                <w:bottom w:val="none" w:sz="0" w:space="0" w:color="auto"/>
                                                <w:right w:val="none" w:sz="0" w:space="0" w:color="auto"/>
                                              </w:divBdr>
                                            </w:div>
                                          </w:divsChild>
                                        </w:div>
                                        <w:div w:id="74206983">
                                          <w:marLeft w:val="0"/>
                                          <w:marRight w:val="0"/>
                                          <w:marTop w:val="0"/>
                                          <w:marBottom w:val="0"/>
                                          <w:divBdr>
                                            <w:top w:val="none" w:sz="0" w:space="0" w:color="auto"/>
                                            <w:left w:val="none" w:sz="0" w:space="0" w:color="auto"/>
                                            <w:bottom w:val="none" w:sz="0" w:space="0" w:color="auto"/>
                                            <w:right w:val="none" w:sz="0" w:space="0" w:color="auto"/>
                                          </w:divBdr>
                                          <w:divsChild>
                                            <w:div w:id="230386878">
                                              <w:marLeft w:val="0"/>
                                              <w:marRight w:val="0"/>
                                              <w:marTop w:val="0"/>
                                              <w:marBottom w:val="0"/>
                                              <w:divBdr>
                                                <w:top w:val="none" w:sz="0" w:space="0" w:color="auto"/>
                                                <w:left w:val="none" w:sz="0" w:space="0" w:color="auto"/>
                                                <w:bottom w:val="none" w:sz="0" w:space="0" w:color="auto"/>
                                                <w:right w:val="none" w:sz="0" w:space="0" w:color="auto"/>
                                              </w:divBdr>
                                            </w:div>
                                            <w:div w:id="1309818712">
                                              <w:marLeft w:val="0"/>
                                              <w:marRight w:val="0"/>
                                              <w:marTop w:val="0"/>
                                              <w:marBottom w:val="0"/>
                                              <w:divBdr>
                                                <w:top w:val="none" w:sz="0" w:space="0" w:color="auto"/>
                                                <w:left w:val="none" w:sz="0" w:space="0" w:color="auto"/>
                                                <w:bottom w:val="none" w:sz="0" w:space="0" w:color="auto"/>
                                                <w:right w:val="none" w:sz="0" w:space="0" w:color="auto"/>
                                              </w:divBdr>
                                            </w:div>
                                            <w:div w:id="562762251">
                                              <w:marLeft w:val="0"/>
                                              <w:marRight w:val="0"/>
                                              <w:marTop w:val="0"/>
                                              <w:marBottom w:val="0"/>
                                              <w:divBdr>
                                                <w:top w:val="none" w:sz="0" w:space="0" w:color="auto"/>
                                                <w:left w:val="none" w:sz="0" w:space="0" w:color="auto"/>
                                                <w:bottom w:val="none" w:sz="0" w:space="0" w:color="auto"/>
                                                <w:right w:val="none" w:sz="0" w:space="0" w:color="auto"/>
                                              </w:divBdr>
                                            </w:div>
                                            <w:div w:id="860046223">
                                              <w:marLeft w:val="0"/>
                                              <w:marRight w:val="0"/>
                                              <w:marTop w:val="0"/>
                                              <w:marBottom w:val="0"/>
                                              <w:divBdr>
                                                <w:top w:val="none" w:sz="0" w:space="0" w:color="auto"/>
                                                <w:left w:val="none" w:sz="0" w:space="0" w:color="auto"/>
                                                <w:bottom w:val="none" w:sz="0" w:space="0" w:color="auto"/>
                                                <w:right w:val="none" w:sz="0" w:space="0" w:color="auto"/>
                                              </w:divBdr>
                                            </w:div>
                                            <w:div w:id="1308779988">
                                              <w:marLeft w:val="0"/>
                                              <w:marRight w:val="0"/>
                                              <w:marTop w:val="0"/>
                                              <w:marBottom w:val="0"/>
                                              <w:divBdr>
                                                <w:top w:val="none" w:sz="0" w:space="0" w:color="auto"/>
                                                <w:left w:val="none" w:sz="0" w:space="0" w:color="auto"/>
                                                <w:bottom w:val="none" w:sz="0" w:space="0" w:color="auto"/>
                                                <w:right w:val="none" w:sz="0" w:space="0" w:color="auto"/>
                                              </w:divBdr>
                                            </w:div>
                                            <w:div w:id="2029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ic.gov/news/news/financial/2017/fil17031.html" TargetMode="External"/><Relationship Id="rId18" Type="http://schemas.openxmlformats.org/officeDocument/2006/relationships/hyperlink" Target="https://nwcompliance.org/wa-dcu-bulletin-b-17-14-website-accessibility-compliance-americans-disabilities-act/" TargetMode="External"/><Relationship Id="rId26" Type="http://schemas.openxmlformats.org/officeDocument/2006/relationships/hyperlink" Target="https://homedepotbanksettlementclaim.com/" TargetMode="External"/><Relationship Id="rId39" Type="http://schemas.openxmlformats.org/officeDocument/2006/relationships/hyperlink" Target="http://app.leg.wa.gov/billsummary?BillNumber=1318&amp;Year=2017" TargetMode="External"/><Relationship Id="rId21" Type="http://schemas.openxmlformats.org/officeDocument/2006/relationships/hyperlink" Target="https://urldefense.proofpoint.com/v2/url?u=https-3A__www.consumerfinance.gov_data-2Dresearch_hmda_for-2Dfilers&amp;d=DQMFaQ&amp;c=euGZstcaTDllvimEN8b7jXrwqOf-v5A_CdpgnVfiiMM&amp;r=79XXFTZAJiRfMwMKegxgccwg-Ar8AC4vVLedIGVwYXk&amp;m=s3-WLGhyFMcLgW0j7VE4ROkdNKkkTeK2BiAYwblZ2uo&amp;s=s5GD5h8rgG-8W1nGcT6V1SkfjkkujF8VUisF7qoYxh8&amp;e=" TargetMode="External"/><Relationship Id="rId34" Type="http://schemas.openxmlformats.org/officeDocument/2006/relationships/hyperlink" Target="https://olis.leg.state.or.us/liz/2017R1/Measures/Overview/HB2229?pubDate=2017-02-27-16-59" TargetMode="External"/><Relationship Id="rId42" Type="http://schemas.openxmlformats.org/officeDocument/2006/relationships/hyperlink" Target="https://nwcompliance.org/e-notaries-coming-washington/" TargetMode="External"/><Relationship Id="rId47" Type="http://schemas.openxmlformats.org/officeDocument/2006/relationships/hyperlink" Target="javascript:sort('RULE_TITLE');" TargetMode="External"/><Relationship Id="rId50" Type="http://schemas.openxmlformats.org/officeDocument/2006/relationships/hyperlink" Target="https://www.reginfo.gov/public/do/eAgendaViewRule?pubId=201704&amp;RIN=3170-AA42" TargetMode="External"/><Relationship Id="rId55" Type="http://schemas.openxmlformats.org/officeDocument/2006/relationships/hyperlink" Target="https://www.reginfo.gov/public/do/eAgendaViewRule?pubId=201704&amp;RIN=3170-AA41" TargetMode="External"/><Relationship Id="rId63" Type="http://schemas.openxmlformats.org/officeDocument/2006/relationships/hyperlink" Target="https://www.reginfo.gov/public/do/eAgendaViewRule?pubId=201704&amp;RIN=3170-AA51" TargetMode="External"/><Relationship Id="rId68" Type="http://schemas.openxmlformats.org/officeDocument/2006/relationships/header" Target="header1.xml"/><Relationship Id="rId7" Type="http://schemas.openxmlformats.org/officeDocument/2006/relationships/hyperlink" Target="https://www.federalregister.gov/documents/2017/07/19/2017-14225/arbitration-agreements"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ldefense.proofpoint.com/v2/url?u=http-3A__buckleysandler.us4.list-2Dmanage.com_track_click-3Fu-3D0a4a4d4691feefc185592ffc3-26id-3D4cb846bec9-26e-3D2dd7a51f66&amp;d=DQMFaQ&amp;c=euGZstcaTDllvimEN8b7jXrwqOf-v5A_CdpgnVfiiMM&amp;r=79XXFTZAJiRfMwMKegxgccwg-Ar8AC4vVLedIGVwYXk&amp;m=h20RXJAiQOX81SpBKi9AV-LjGvZfweEo8mypDWSQjFE&amp;s=8Ie_8fx3tjmfBKzEibM1ZN0yGITokuD0k6qjyolL0EA&amp;e=" TargetMode="External"/><Relationship Id="rId29" Type="http://schemas.openxmlformats.org/officeDocument/2006/relationships/hyperlink" Target="https://nwcompliance.org/oregon-proposed-hb-2581-access-device-security-breach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documents/2017/07/26/2017-15666/request-for-information-defining-and-delimiting-the-exemptions-for-executive-administrative" TargetMode="External"/><Relationship Id="rId24" Type="http://schemas.openxmlformats.org/officeDocument/2006/relationships/hyperlink" Target="https://s3.amazonaws.com/files.consumerfinance.gov/f/documents/cfpb_inforgraphic_eight-steps-to-launch-a-workplace-financial-wellness-program.pdf" TargetMode="External"/><Relationship Id="rId32" Type="http://schemas.openxmlformats.org/officeDocument/2006/relationships/hyperlink" Target="https://olis.leg.state.or.us/liz/2017R1/Measures/Overview/HB2624?pubDate=2017-02-27-08-36" TargetMode="External"/><Relationship Id="rId37" Type="http://schemas.openxmlformats.org/officeDocument/2006/relationships/hyperlink" Target="https://olis.leg.state.or.us/liz/2017R1/Measures/Overview/SB254?pubDate=2017-03-02-11-25" TargetMode="External"/><Relationship Id="rId40" Type="http://schemas.openxmlformats.org/officeDocument/2006/relationships/hyperlink" Target="http://app.leg.wa.gov/billsummary?BillNumber=5031&amp;Year=2017" TargetMode="External"/><Relationship Id="rId45" Type="http://schemas.openxmlformats.org/officeDocument/2006/relationships/hyperlink" Target="javascript:sort('SUBAGENCY_CD');" TargetMode="External"/><Relationship Id="rId53" Type="http://schemas.openxmlformats.org/officeDocument/2006/relationships/hyperlink" Target="https://www.reginfo.gov/public/do/eAgendaViewRule?pubId=201704&amp;RIN=3170-AA07" TargetMode="External"/><Relationship Id="rId58" Type="http://schemas.openxmlformats.org/officeDocument/2006/relationships/hyperlink" Target="https://www.reginfo.gov/public/do/eAgendaViewRule?pubId=201704&amp;RIN=3170-AA65" TargetMode="External"/><Relationship Id="rId66" Type="http://schemas.openxmlformats.org/officeDocument/2006/relationships/hyperlink" Target="https://www.reginfo.gov/public/do/eAgendaViewRule?pubId=201704&amp;RIN=3170-AA63" TargetMode="External"/><Relationship Id="rId5" Type="http://schemas.openxmlformats.org/officeDocument/2006/relationships/footnotes" Target="footnotes.xml"/><Relationship Id="rId15" Type="http://schemas.openxmlformats.org/officeDocument/2006/relationships/hyperlink" Target="https://urldefense.proofpoint.com/v2/url?u=http-3A__buckleysandler.us4.list-2Dmanage1.com_track_click-3Fu-3D0a4a4d4691feefc185592ffc3-26id-3D688a9e5684-26e-3D2dd7a51f66&amp;d=DQMFaQ&amp;c=euGZstcaTDllvimEN8b7jXrwqOf-v5A_CdpgnVfiiMM&amp;r=79XXFTZAJiRfMwMKegxgccwg-Ar8AC4vVLedIGVwYXk&amp;m=h20RXJAiQOX81SpBKi9AV-LjGvZfweEo8mypDWSQjFE&amp;s=yEQfo4bJ3PN0YIClmy5iM8U_f1MrnLuHGwPln8DIrA8&amp;e=" TargetMode="External"/><Relationship Id="rId23" Type="http://schemas.openxmlformats.org/officeDocument/2006/relationships/hyperlink" Target="https://s3.amazonaws.com/files.consumerfinance.gov/f/documents/cfpb_workplace-financial-wellness_resource-guide.pdf" TargetMode="External"/><Relationship Id="rId28" Type="http://schemas.openxmlformats.org/officeDocument/2006/relationships/hyperlink" Target="https://nwcompliance.org/pay-phone-fees-lead-udaap-violations/" TargetMode="External"/><Relationship Id="rId36" Type="http://schemas.openxmlformats.org/officeDocument/2006/relationships/hyperlink" Target="https://olis.leg.state.or.us/liz/2017R1/Measures/Overview/SB113?pubDate=2017-03-02-11-25" TargetMode="External"/><Relationship Id="rId49" Type="http://schemas.openxmlformats.org/officeDocument/2006/relationships/hyperlink" Target="https://www.reginfo.gov/public/do/eAgendaViewRule?pubId=201704&amp;RIN=3170-AA09" TargetMode="External"/><Relationship Id="rId57" Type="http://schemas.openxmlformats.org/officeDocument/2006/relationships/hyperlink" Target="https://www.reginfo.gov/public/do/eAgendaViewRule?pubId=201704&amp;RIN=3170-AA64" TargetMode="External"/><Relationship Id="rId61" Type="http://schemas.openxmlformats.org/officeDocument/2006/relationships/hyperlink" Target="https://www.reginfo.gov/public/do/eAgendaViewRule?pubId=201704&amp;RIN=3170-AA75" TargetMode="External"/><Relationship Id="rId10" Type="http://schemas.openxmlformats.org/officeDocument/2006/relationships/hyperlink" Target="https://www.federalregister.gov/documents/2017/07/27/2017-15686/closing-the-temporary-corporate-credit-union-stabilization-fund-and-setting-the-share-insurance-fund?utm_campaign=subscription%20mailing%20list&amp;utm_source=federalregister.gov&amp;utm_medium=email" TargetMode="External"/><Relationship Id="rId19" Type="http://schemas.openxmlformats.org/officeDocument/2006/relationships/hyperlink" Target="https://www.treasury.gov/resource-center/sanctions/Programs/Documents/cuba_faqs_20170725.pdf" TargetMode="External"/><Relationship Id="rId31" Type="http://schemas.openxmlformats.org/officeDocument/2006/relationships/hyperlink" Target="https://olis.leg.state.or.us/liz/2017R1/Measures/Overview/HB2359?pubDate=2017-02-27-08-36" TargetMode="External"/><Relationship Id="rId44" Type="http://schemas.openxmlformats.org/officeDocument/2006/relationships/hyperlink" Target="https://nwcompliance.org/w-2-1099-misc-filing-dates-change/" TargetMode="External"/><Relationship Id="rId52" Type="http://schemas.openxmlformats.org/officeDocument/2006/relationships/hyperlink" Target="https://www.reginfo.gov/public/do/eAgendaViewRule?pubId=201704&amp;RIN=3170-AA73" TargetMode="External"/><Relationship Id="rId60" Type="http://schemas.openxmlformats.org/officeDocument/2006/relationships/hyperlink" Target="https://www.reginfo.gov/public/do/eAgendaViewRule?pubId=201704&amp;RIN=3170-AA72" TargetMode="External"/><Relationship Id="rId65" Type="http://schemas.openxmlformats.org/officeDocument/2006/relationships/hyperlink" Target="https://www.reginfo.gov/public/do/eAgendaViewRule?pubId=201704&amp;RIN=3170-AA61" TargetMode="External"/><Relationship Id="rId4" Type="http://schemas.openxmlformats.org/officeDocument/2006/relationships/webSettings" Target="webSettings.xml"/><Relationship Id="rId9" Type="http://schemas.openxmlformats.org/officeDocument/2006/relationships/hyperlink" Target="https://www.federalregister.gov/documents/2017/07/31/2017-15685/emergency-mergers-chartering-and-field-of-membership?utm_campaign=subscription%20mailing%20list&amp;utm_source=federalregister.gov&amp;utm_medium=email" TargetMode="External"/><Relationship Id="rId14" Type="http://schemas.openxmlformats.org/officeDocument/2006/relationships/hyperlink" Target="https://urldefense.proofpoint.com/v2/url?u=http-3A__buckleysandler.us4.list-2Dmanage1.com_track_click-3Fu-3D0a4a4d4691feefc185592ffc3-26id-3D688a9e5684-26e-3D2dd7a51f66&amp;d=DQMFaQ&amp;c=euGZstcaTDllvimEN8b7jXrwqOf-v5A_CdpgnVfiiMM&amp;r=79XXFTZAJiRfMwMKegxgccwg-Ar8AC4vVLedIGVwYXk&amp;m=h20RXJAiQOX81SpBKi9AV-LjGvZfweEo8mypDWSQjFE&amp;s=yEQfo4bJ3PN0YIClmy5iM8U_f1MrnLuHGwPln8DIrA8&amp;e=" TargetMode="External"/><Relationship Id="rId22" Type="http://schemas.openxmlformats.org/officeDocument/2006/relationships/hyperlink" Target="https://urldefense.proofpoint.com/v2/url?u=http-3A__links.govdelivery.com-3A80_track-3Ftype-3Dclick-26enid-3DZWFzPTEmbWFpbGluZ2lkPTIwMTcwNzIwLjc2MTQ3MjUxJm1lc3NhZ2VpZD1NREItUFJELUJVTC0yMDE3MDcyMC43NjE0NzI1MSZkYXRhYmFzZWlkPTEwMDEmc2VyaWFsPTE3ODg2MTE1JmVtYWlsaWQ9am1ja2lubmV5QG53Y29tcGxpYW5jZS5vcmcmdXNlcmlkPWptY2tpbm5leUBud2NvbXBsaWFuY2Uub3JnJmZsPSZleHRyYT1NdWx0aXZhcmlhdGVJZD0mJiY-3D-26-26-26100-26-26-26http-3A__www.dfi.wa.gov_sites_default_files_credit-2Dunions_bulletins_B-2D17-2D13.pdf&amp;d=DQMFAw&amp;c=euGZstcaTDllvimEN8b7jXrwqOf-v5A_CdpgnVfiiMM&amp;r=79XXFTZAJiRfMwMKegxgccwg-Ar8AC4vVLedIGVwYXk&amp;m=SmN3OD1jQeBOXEmZipy6k39N0XRNqDDUXnu3Ji9ZMfE&amp;s=PPjkpQYeEu6PDkWtUAxGzv8F8z6wycii8d49SW__Hmc&amp;e=" TargetMode="External"/><Relationship Id="rId27" Type="http://schemas.openxmlformats.org/officeDocument/2006/relationships/hyperlink" Target="https://s3.amazonaws.com/files.consumerfinance.gov/f/documents/201707_cfpb_Executive-summary-of-2017-TILA-RESPA-rule.pdf" TargetMode="External"/><Relationship Id="rId30" Type="http://schemas.openxmlformats.org/officeDocument/2006/relationships/hyperlink" Target="https://olis.leg.state.or.us/liz/2017R1/Measures/Overview/HB2161" TargetMode="External"/><Relationship Id="rId35" Type="http://schemas.openxmlformats.org/officeDocument/2006/relationships/hyperlink" Target="https://olis.leg.state.or.us/liz/2017R1/Measures/Overview/HB2346?pubDate=2017-02-22-09-10" TargetMode="External"/><Relationship Id="rId43" Type="http://schemas.openxmlformats.org/officeDocument/2006/relationships/hyperlink" Target="http://app.leg.wa.gov/billsummary?BillNumber=5343&amp;Year=2017" TargetMode="External"/><Relationship Id="rId48" Type="http://schemas.openxmlformats.org/officeDocument/2006/relationships/hyperlink" Target="javascript:sort('RIN');" TargetMode="External"/><Relationship Id="rId56" Type="http://schemas.openxmlformats.org/officeDocument/2006/relationships/hyperlink" Target="https://www.reginfo.gov/public/do/eAgendaViewRule?pubId=201704&amp;RIN=3170-AA57" TargetMode="External"/><Relationship Id="rId64" Type="http://schemas.openxmlformats.org/officeDocument/2006/relationships/hyperlink" Target="https://www.reginfo.gov/public/do/eAgendaViewRule?pubId=201704&amp;RIN=3170-AA60" TargetMode="External"/><Relationship Id="rId69" Type="http://schemas.openxmlformats.org/officeDocument/2006/relationships/footer" Target="footer1.xml"/><Relationship Id="rId8" Type="http://schemas.openxmlformats.org/officeDocument/2006/relationships/hyperlink" Target="https://www.federalregister.gov/documents/2017/07/05/2017-13796/amendments-to-the-2013-mortgage-rules-under-the-real-estate-settlement-procedures-act-regulation-x" TargetMode="External"/><Relationship Id="rId51" Type="http://schemas.openxmlformats.org/officeDocument/2006/relationships/hyperlink" Target="https://www.reginfo.gov/public/do/eAgendaViewRule?pubId=201704&amp;RIN=3170-AA70" TargetMode="External"/><Relationship Id="rId3" Type="http://schemas.openxmlformats.org/officeDocument/2006/relationships/settings" Target="settings.xml"/><Relationship Id="rId12" Type="http://schemas.openxmlformats.org/officeDocument/2006/relationships/hyperlink" Target="https://www.federalregister.gov/documents/2017/07/20/2017-15220/home-mortgage-disclosure-regulation-c-temporary-increase-in-institutional-and-transactional-coverage" TargetMode="External"/><Relationship Id="rId17" Type="http://schemas.openxmlformats.org/officeDocument/2006/relationships/hyperlink" Target="https://urldefense.proofpoint.com/v2/url?u=http-3A__buckleysandler.us4.list-2Dmanage.com_track_click-3Fu-3D0a4a4d4691feefc185592ffc3-26id-3D7b4603fc56-26e-3D2dd7a51f66&amp;d=DQMFaQ&amp;c=euGZstcaTDllvimEN8b7jXrwqOf-v5A_CdpgnVfiiMM&amp;r=79XXFTZAJiRfMwMKegxgccwg-Ar8AC4vVLedIGVwYXk&amp;m=h20RXJAiQOX81SpBKi9AV-LjGvZfweEo8mypDWSQjFE&amp;s=nyiqHLX6oR9ZJRQWuD858uKgKFTjcKb5vWYB3Y8tIsk&amp;e=" TargetMode="External"/><Relationship Id="rId25" Type="http://schemas.openxmlformats.org/officeDocument/2006/relationships/hyperlink" Target="https://www.federalreserve.gov/monetarypolicy/files/BeigeBook_20170712.pdf" TargetMode="External"/><Relationship Id="rId33" Type="http://schemas.openxmlformats.org/officeDocument/2006/relationships/hyperlink" Target="https://olis.leg.state.or.us/liz/2017R1/Measures/Overview/HB2622?pubDate=2017-02-27-10-55" TargetMode="External"/><Relationship Id="rId38" Type="http://schemas.openxmlformats.org/officeDocument/2006/relationships/hyperlink" Target="http://app.leg.wa.gov/billsummary?BillNumber=1209&amp;Year=2017" TargetMode="External"/><Relationship Id="rId46" Type="http://schemas.openxmlformats.org/officeDocument/2006/relationships/hyperlink" Target="javascript:sort('RULE_STAGE_CD');" TargetMode="External"/><Relationship Id="rId59" Type="http://schemas.openxmlformats.org/officeDocument/2006/relationships/hyperlink" Target="https://www.reginfo.gov/public/do/eAgendaViewRule?pubId=201704&amp;RIN=3170-AA71" TargetMode="External"/><Relationship Id="rId67" Type="http://schemas.openxmlformats.org/officeDocument/2006/relationships/hyperlink" Target="https://www.reginfo.gov/public/do/eAgendaViewRule?pubId=201704&amp;RIN=3170-AA74" TargetMode="External"/><Relationship Id="rId20" Type="http://schemas.openxmlformats.org/officeDocument/2006/relationships/hyperlink" Target="https://urldefense.proofpoint.com/v2/url?u=https-3A__www.consumerfinance.gov_data-2Dresearch_hmda_static_for-2Dfilers_HMDA-2DLoan-2DScenarios.pdf&amp;d=DQMFaQ&amp;c=euGZstcaTDllvimEN8b7jXrwqOf-v5A_CdpgnVfiiMM&amp;r=79XXFTZAJiRfMwMKegxgccwg-Ar8AC4vVLedIGVwYXk&amp;m=s3-WLGhyFMcLgW0j7VE4ROkdNKkkTeK2BiAYwblZ2uo&amp;s=fvCMk1Omjh8VJVNkqWCJQzHu31g183FyLKytA65YT7U&amp;e=" TargetMode="External"/><Relationship Id="rId41" Type="http://schemas.openxmlformats.org/officeDocument/2006/relationships/hyperlink" Target="https://nwcompliance.org/washington-credit-union-act-update/" TargetMode="External"/><Relationship Id="rId54" Type="http://schemas.openxmlformats.org/officeDocument/2006/relationships/hyperlink" Target="https://www.reginfo.gov/public/do/eAgendaViewRule?pubId=201704&amp;RIN=3170-AA40" TargetMode="External"/><Relationship Id="rId62" Type="http://schemas.openxmlformats.org/officeDocument/2006/relationships/hyperlink" Target="https://www.reginfo.gov/public/do/eAgendaViewRule?pubId=201704&amp;RIN=3170-AA31"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8</Pages>
  <Words>3895</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NW Compliance Group</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McKinney</dc:creator>
  <cp:lastModifiedBy>Jim McKinney</cp:lastModifiedBy>
  <cp:revision>12</cp:revision>
  <cp:lastPrinted>2017-08-02T15:05:00Z</cp:lastPrinted>
  <dcterms:created xsi:type="dcterms:W3CDTF">2017-07-31T17:25:00Z</dcterms:created>
  <dcterms:modified xsi:type="dcterms:W3CDTF">2017-08-02T15:27:00Z</dcterms:modified>
</cp:coreProperties>
</file>