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0B2" w:rsidRPr="00967605" w:rsidRDefault="004670B2" w:rsidP="007B2E65">
      <w:pPr>
        <w:spacing w:after="0"/>
        <w:rPr>
          <w:sz w:val="28"/>
          <w:szCs w:val="28"/>
        </w:rPr>
      </w:pPr>
      <w:r w:rsidRPr="00967605">
        <w:rPr>
          <w:b/>
          <w:sz w:val="28"/>
          <w:szCs w:val="28"/>
        </w:rPr>
        <w:t>FINAL REGULATIONS</w:t>
      </w:r>
      <w:r w:rsidR="008756E8">
        <w:rPr>
          <w:b/>
          <w:sz w:val="28"/>
          <w:szCs w:val="28"/>
        </w:rPr>
        <w:t>/RULES</w:t>
      </w:r>
    </w:p>
    <w:tbl>
      <w:tblPr>
        <w:tblStyle w:val="TableGrid"/>
        <w:tblW w:w="13176" w:type="dxa"/>
        <w:tblLook w:val="04A0" w:firstRow="1" w:lastRow="0" w:firstColumn="1" w:lastColumn="0" w:noHBand="0" w:noVBand="1"/>
      </w:tblPr>
      <w:tblGrid>
        <w:gridCol w:w="1278"/>
        <w:gridCol w:w="2250"/>
        <w:gridCol w:w="1440"/>
        <w:gridCol w:w="8208"/>
      </w:tblGrid>
      <w:tr w:rsidR="00AC6A22" w:rsidTr="00AC6A22">
        <w:tc>
          <w:tcPr>
            <w:tcW w:w="1278" w:type="dxa"/>
            <w:tcBorders>
              <w:top w:val="nil"/>
              <w:left w:val="nil"/>
              <w:right w:val="nil"/>
            </w:tcBorders>
          </w:tcPr>
          <w:p w:rsidR="00AC6A22" w:rsidRDefault="00AC6A22" w:rsidP="00413996">
            <w:pPr>
              <w:rPr>
                <w:b/>
              </w:rPr>
            </w:pPr>
            <w:r>
              <w:rPr>
                <w:b/>
              </w:rPr>
              <w:t>Effective Date</w:t>
            </w:r>
          </w:p>
        </w:tc>
        <w:tc>
          <w:tcPr>
            <w:tcW w:w="2250" w:type="dxa"/>
            <w:tcBorders>
              <w:top w:val="nil"/>
              <w:left w:val="nil"/>
              <w:right w:val="nil"/>
            </w:tcBorders>
          </w:tcPr>
          <w:p w:rsidR="00AC6A22" w:rsidRDefault="00AC6A22" w:rsidP="00413996">
            <w:pPr>
              <w:rPr>
                <w:b/>
              </w:rPr>
            </w:pPr>
            <w:r>
              <w:rPr>
                <w:b/>
              </w:rPr>
              <w:t>Regulation</w:t>
            </w:r>
          </w:p>
        </w:tc>
        <w:tc>
          <w:tcPr>
            <w:tcW w:w="1440" w:type="dxa"/>
            <w:tcBorders>
              <w:top w:val="nil"/>
              <w:left w:val="nil"/>
              <w:right w:val="nil"/>
            </w:tcBorders>
          </w:tcPr>
          <w:p w:rsidR="00AC6A22" w:rsidRDefault="00AC6A22" w:rsidP="00413996">
            <w:pPr>
              <w:rPr>
                <w:b/>
              </w:rPr>
            </w:pPr>
            <w:r>
              <w:rPr>
                <w:b/>
              </w:rPr>
              <w:t>Citation</w:t>
            </w:r>
          </w:p>
        </w:tc>
        <w:tc>
          <w:tcPr>
            <w:tcW w:w="8208" w:type="dxa"/>
            <w:tcBorders>
              <w:top w:val="nil"/>
              <w:left w:val="nil"/>
              <w:right w:val="nil"/>
            </w:tcBorders>
          </w:tcPr>
          <w:p w:rsidR="00AC6A22" w:rsidRDefault="00AC6A22" w:rsidP="00413996">
            <w:pPr>
              <w:rPr>
                <w:b/>
              </w:rPr>
            </w:pPr>
            <w:r>
              <w:rPr>
                <w:b/>
              </w:rPr>
              <w:t>Summary</w:t>
            </w:r>
          </w:p>
        </w:tc>
      </w:tr>
      <w:tr w:rsidR="00B532FB" w:rsidRPr="00967605" w:rsidTr="00AC6A22">
        <w:tc>
          <w:tcPr>
            <w:tcW w:w="1278" w:type="dxa"/>
          </w:tcPr>
          <w:p w:rsidR="00630DEC" w:rsidRPr="00891FE6" w:rsidRDefault="00696DF2" w:rsidP="00413996">
            <w:r>
              <w:t>07/01/</w:t>
            </w:r>
            <w:r w:rsidR="00494DA3">
              <w:t>2017</w:t>
            </w:r>
          </w:p>
        </w:tc>
        <w:tc>
          <w:tcPr>
            <w:tcW w:w="2250" w:type="dxa"/>
          </w:tcPr>
          <w:p w:rsidR="00B532FB" w:rsidRDefault="009C467C" w:rsidP="000C6F62">
            <w:hyperlink r:id="rId7" w:history="1">
              <w:r w:rsidR="00494DA3" w:rsidRPr="00494DA3">
                <w:rPr>
                  <w:rStyle w:val="Hyperlink"/>
                </w:rPr>
                <w:t>OREGON – Semi-Annual Escrow Rate Adjustment</w:t>
              </w:r>
            </w:hyperlink>
          </w:p>
        </w:tc>
        <w:tc>
          <w:tcPr>
            <w:tcW w:w="1440" w:type="dxa"/>
          </w:tcPr>
          <w:p w:rsidR="00B532FB" w:rsidRDefault="00494DA3" w:rsidP="006E10DB">
            <w:pPr>
              <w:spacing w:after="120"/>
            </w:pPr>
            <w:r>
              <w:t>ORS 86.245</w:t>
            </w:r>
          </w:p>
        </w:tc>
        <w:tc>
          <w:tcPr>
            <w:tcW w:w="8208" w:type="dxa"/>
          </w:tcPr>
          <w:p w:rsidR="00630DEC" w:rsidRDefault="00494DA3" w:rsidP="000F5081">
            <w:r>
              <w:t>Credit unions are not required to pay interest on escrow accounts from July 1, 2017 – 12/31/2017, because the T-Bill rate was too low to establish a minimum.  Credit unions can pay interest, and should verify with their terms and conditions whether they disclose that they will.</w:t>
            </w:r>
          </w:p>
        </w:tc>
      </w:tr>
      <w:tr w:rsidR="00494DA3" w:rsidRPr="00967605" w:rsidTr="00AC6A22">
        <w:tc>
          <w:tcPr>
            <w:tcW w:w="1278" w:type="dxa"/>
          </w:tcPr>
          <w:p w:rsidR="00494DA3" w:rsidRDefault="00494DA3" w:rsidP="00413996">
            <w:r>
              <w:t>07/01/2018</w:t>
            </w:r>
          </w:p>
        </w:tc>
        <w:tc>
          <w:tcPr>
            <w:tcW w:w="2250" w:type="dxa"/>
          </w:tcPr>
          <w:p w:rsidR="00494DA3" w:rsidRDefault="009C467C" w:rsidP="000C6F62">
            <w:hyperlink r:id="rId8" w:history="1">
              <w:r w:rsidR="00494DA3" w:rsidRPr="00494DA3">
                <w:rPr>
                  <w:rStyle w:val="Hyperlink"/>
                </w:rPr>
                <w:t>WASHINGTON – E-Notaries are coming</w:t>
              </w:r>
            </w:hyperlink>
          </w:p>
        </w:tc>
        <w:tc>
          <w:tcPr>
            <w:tcW w:w="1440" w:type="dxa"/>
          </w:tcPr>
          <w:p w:rsidR="00494DA3" w:rsidRDefault="00494DA3" w:rsidP="006E10DB">
            <w:pPr>
              <w:spacing w:after="120"/>
            </w:pPr>
            <w:r>
              <w:t>SB 5081</w:t>
            </w:r>
          </w:p>
        </w:tc>
        <w:tc>
          <w:tcPr>
            <w:tcW w:w="8208" w:type="dxa"/>
          </w:tcPr>
          <w:p w:rsidR="00494DA3" w:rsidRDefault="00494DA3" w:rsidP="000F5081">
            <w:r w:rsidRPr="00494DA3">
              <w:t>Washington State passed Substitute Senate Bill 5081, dealing with notarial acts.  The bill adopts (mostly) the Revised Uniform Law on Notarial Acts (RULONA).  Included in the bill is a provision for electronic notaries.  The effective date of the changes is July 1, 2018.</w:t>
            </w:r>
          </w:p>
        </w:tc>
      </w:tr>
      <w:tr w:rsidR="00423E3C" w:rsidRPr="00967605" w:rsidTr="00AC6A22">
        <w:tc>
          <w:tcPr>
            <w:tcW w:w="1278" w:type="dxa"/>
          </w:tcPr>
          <w:p w:rsidR="00423E3C" w:rsidRDefault="005908B4" w:rsidP="00413996">
            <w:r>
              <w:t>09/30/2017</w:t>
            </w:r>
          </w:p>
        </w:tc>
        <w:tc>
          <w:tcPr>
            <w:tcW w:w="2250" w:type="dxa"/>
          </w:tcPr>
          <w:p w:rsidR="00423E3C" w:rsidRDefault="009C467C" w:rsidP="000C6F62">
            <w:hyperlink r:id="rId9" w:history="1">
              <w:r w:rsidR="005908B4" w:rsidRPr="005908B4">
                <w:rPr>
                  <w:rStyle w:val="Hyperlink"/>
                </w:rPr>
                <w:t>New Call Report form</w:t>
              </w:r>
            </w:hyperlink>
          </w:p>
        </w:tc>
        <w:tc>
          <w:tcPr>
            <w:tcW w:w="1440" w:type="dxa"/>
          </w:tcPr>
          <w:p w:rsidR="00423E3C" w:rsidRDefault="00423E3C" w:rsidP="006E10DB">
            <w:pPr>
              <w:spacing w:after="120"/>
            </w:pPr>
          </w:p>
        </w:tc>
        <w:tc>
          <w:tcPr>
            <w:tcW w:w="8208" w:type="dxa"/>
          </w:tcPr>
          <w:p w:rsidR="005908B4" w:rsidRDefault="005908B4" w:rsidP="005908B4">
            <w:r w:rsidRPr="005908B4">
              <w:t>The MBL rule creates a distinction between MBLs and commercial loans</w:t>
            </w:r>
            <w:r>
              <w:t>.  The Instructions also explain that the reporting of commercial loans will be broken down into subcategories such as:  Construction and development loans; Loans secured by farmland;</w:t>
            </w:r>
          </w:p>
          <w:p w:rsidR="005908B4" w:rsidRDefault="005908B4" w:rsidP="005908B4">
            <w:r>
              <w:t>Secured by multifamily residential property; Secured by owner-occupied, nonfarm nonresidential property; Secured by nonowner-occupied, nonfarm nonresidential property; Real estate-secured commercial loans; Loans to finance agricultural production and other loans to farmers' commercial and industrial loans; Unsecured commercial loans; Unsecured revolving lines of credit granted for commercial purposes; and</w:t>
            </w:r>
          </w:p>
          <w:p w:rsidR="00423E3C" w:rsidRPr="00494DA3" w:rsidRDefault="005908B4" w:rsidP="005908B4">
            <w:r>
              <w:t>Total commercial loans to members.  For member business loans, credit unions will only report the net member business loan balance (NMBLB) and the NMBLB comprised of 1- to 4-family residential properties.</w:t>
            </w:r>
          </w:p>
        </w:tc>
      </w:tr>
      <w:tr w:rsidR="000209E6" w:rsidRPr="00967605" w:rsidTr="00AC6A22">
        <w:tc>
          <w:tcPr>
            <w:tcW w:w="1278" w:type="dxa"/>
          </w:tcPr>
          <w:p w:rsidR="000209E6" w:rsidRDefault="008577CC" w:rsidP="00413996">
            <w:r>
              <w:t>07/05/2017</w:t>
            </w:r>
          </w:p>
        </w:tc>
        <w:tc>
          <w:tcPr>
            <w:tcW w:w="2250" w:type="dxa"/>
          </w:tcPr>
          <w:p w:rsidR="000209E6" w:rsidRDefault="009C467C" w:rsidP="000C6F62">
            <w:hyperlink r:id="rId10" w:history="1">
              <w:r w:rsidR="00063529" w:rsidRPr="008577CC">
                <w:rPr>
                  <w:rStyle w:val="Hyperlink"/>
                </w:rPr>
                <w:t>FHLB Membership for Non-Federally-Insured Credit Unions</w:t>
              </w:r>
            </w:hyperlink>
          </w:p>
        </w:tc>
        <w:tc>
          <w:tcPr>
            <w:tcW w:w="1440" w:type="dxa"/>
          </w:tcPr>
          <w:p w:rsidR="000209E6" w:rsidRDefault="00063529" w:rsidP="006E10DB">
            <w:pPr>
              <w:spacing w:after="120"/>
            </w:pPr>
            <w:r w:rsidRPr="008577CC">
              <w:t>82 FR 25717</w:t>
            </w:r>
          </w:p>
        </w:tc>
        <w:tc>
          <w:tcPr>
            <w:tcW w:w="8208" w:type="dxa"/>
          </w:tcPr>
          <w:p w:rsidR="00063529" w:rsidRDefault="00063529" w:rsidP="00063529">
            <w:r>
              <w:t>The Federal Housing Finance Agency (FHFA or Agency) is adopting a final rule revising its regulation governing Federal Home Loan Bank (Bank) membership to implement</w:t>
            </w:r>
          </w:p>
          <w:p w:rsidR="000209E6" w:rsidRPr="00494DA3" w:rsidRDefault="00063529" w:rsidP="00063529">
            <w:r>
              <w:t>section 82001 of the Fixing America’s Surface Transportation Act (FAST Act), which amended the Federal Home Loan Bank Act (Bank Act) to authorize certain credit unions without Federal share insurance to become Bank members.</w:t>
            </w:r>
          </w:p>
        </w:tc>
      </w:tr>
      <w:tr w:rsidR="00063529" w:rsidRPr="00967605" w:rsidTr="00AC6A22">
        <w:tc>
          <w:tcPr>
            <w:tcW w:w="1278" w:type="dxa"/>
          </w:tcPr>
          <w:p w:rsidR="00063529" w:rsidRDefault="00FC1B53" w:rsidP="00413996">
            <w:r>
              <w:t>07/31/2017</w:t>
            </w:r>
          </w:p>
        </w:tc>
        <w:tc>
          <w:tcPr>
            <w:tcW w:w="2250" w:type="dxa"/>
          </w:tcPr>
          <w:p w:rsidR="00063529" w:rsidRDefault="009C467C" w:rsidP="000C6F62">
            <w:hyperlink r:id="rId11" w:history="1">
              <w:r w:rsidR="006564E8" w:rsidRPr="006564E8">
                <w:rPr>
                  <w:rStyle w:val="Hyperlink"/>
                </w:rPr>
                <w:t>Safe Harbor – Involuntary Liquidation</w:t>
              </w:r>
            </w:hyperlink>
          </w:p>
        </w:tc>
        <w:tc>
          <w:tcPr>
            <w:tcW w:w="1440" w:type="dxa"/>
          </w:tcPr>
          <w:p w:rsidR="00063529" w:rsidRDefault="006564E8" w:rsidP="006E10DB">
            <w:pPr>
              <w:spacing w:after="120"/>
            </w:pPr>
            <w:r>
              <w:t>82 FR 29699</w:t>
            </w:r>
          </w:p>
        </w:tc>
        <w:tc>
          <w:tcPr>
            <w:tcW w:w="8208" w:type="dxa"/>
          </w:tcPr>
          <w:p w:rsidR="00063529" w:rsidRPr="00494DA3" w:rsidRDefault="006564E8" w:rsidP="000F5081">
            <w:r>
              <w:t>The NCUA issued</w:t>
            </w:r>
            <w:r w:rsidRPr="006564E8">
              <w:t xml:space="preserve"> this final rule to amend its regulations regarding the treatment by the Board, as liquidating agent or conservator of a federally insured credit union, of financial assets transferred by the credit union </w:t>
            </w:r>
            <w:proofErr w:type="gramStart"/>
            <w:r w:rsidRPr="006564E8">
              <w:t>in connection with</w:t>
            </w:r>
            <w:proofErr w:type="gramEnd"/>
            <w:r w:rsidRPr="006564E8">
              <w:t xml:space="preserve"> a securitization or a participation. The final rule replaces NCUA's current safe harbor for financial assets transferred </w:t>
            </w:r>
            <w:proofErr w:type="gramStart"/>
            <w:r w:rsidRPr="006564E8">
              <w:t>in connection with</w:t>
            </w:r>
            <w:proofErr w:type="gramEnd"/>
            <w:r w:rsidRPr="006564E8">
              <w:t xml:space="preserve"> securitizations and participations in which the financial assets were transferred in compliance with the existing regulation, and defines the </w:t>
            </w:r>
            <w:r w:rsidRPr="006564E8">
              <w:lastRenderedPageBreak/>
              <w:t xml:space="preserve">conditions for safe harbor protection for securitizations and participations for which transfers of financial assets would be made after </w:t>
            </w:r>
            <w:r>
              <w:t>07/31/2017.</w:t>
            </w:r>
          </w:p>
        </w:tc>
      </w:tr>
      <w:tr w:rsidR="00FC1B53" w:rsidRPr="00967605" w:rsidTr="00AC6A22">
        <w:tc>
          <w:tcPr>
            <w:tcW w:w="1278" w:type="dxa"/>
          </w:tcPr>
          <w:p w:rsidR="00FC1B53" w:rsidRDefault="00804BDF" w:rsidP="00413996">
            <w:r>
              <w:lastRenderedPageBreak/>
              <w:t>07/01/2018</w:t>
            </w:r>
          </w:p>
        </w:tc>
        <w:tc>
          <w:tcPr>
            <w:tcW w:w="2250" w:type="dxa"/>
          </w:tcPr>
          <w:p w:rsidR="00FC1B53" w:rsidRDefault="00F964D3" w:rsidP="000C6F62">
            <w:hyperlink r:id="rId12" w:history="1">
              <w:r w:rsidR="00804BDF" w:rsidRPr="00F964D3">
                <w:rPr>
                  <w:rStyle w:val="Hyperlink"/>
                </w:rPr>
                <w:t>Availability of Funds and Collection of Checks</w:t>
              </w:r>
              <w:r w:rsidRPr="00F964D3">
                <w:rPr>
                  <w:rStyle w:val="Hyperlink"/>
                </w:rPr>
                <w:t xml:space="preserve"> Regulation CC</w:t>
              </w:r>
            </w:hyperlink>
          </w:p>
        </w:tc>
        <w:tc>
          <w:tcPr>
            <w:tcW w:w="1440" w:type="dxa"/>
          </w:tcPr>
          <w:p w:rsidR="00FC1B53" w:rsidRDefault="00804BDF" w:rsidP="006E10DB">
            <w:pPr>
              <w:spacing w:after="120"/>
            </w:pPr>
            <w:r w:rsidRPr="00F964D3">
              <w:t>82 FR 27552</w:t>
            </w:r>
          </w:p>
        </w:tc>
        <w:tc>
          <w:tcPr>
            <w:tcW w:w="8208" w:type="dxa"/>
          </w:tcPr>
          <w:p w:rsidR="00FC1B53" w:rsidRPr="00494DA3" w:rsidRDefault="00804BDF" w:rsidP="000F5081">
            <w:r>
              <w:t xml:space="preserve">Expands Subpart C to include remote deposited checks, and contains indemnities and warranties regarding RDC.  </w:t>
            </w:r>
          </w:p>
        </w:tc>
      </w:tr>
      <w:tr w:rsidR="009C467C" w:rsidRPr="00967605" w:rsidTr="00AC6A22">
        <w:tc>
          <w:tcPr>
            <w:tcW w:w="1278" w:type="dxa"/>
          </w:tcPr>
          <w:p w:rsidR="009C467C" w:rsidRDefault="009C467C" w:rsidP="00413996">
            <w:r>
              <w:t>06/26/2017</w:t>
            </w:r>
          </w:p>
        </w:tc>
        <w:tc>
          <w:tcPr>
            <w:tcW w:w="2250" w:type="dxa"/>
          </w:tcPr>
          <w:p w:rsidR="009C467C" w:rsidRDefault="009C467C" w:rsidP="000C6F62">
            <w:hyperlink r:id="rId13" w:history="1">
              <w:r w:rsidRPr="009C467C">
                <w:rPr>
                  <w:rStyle w:val="Hyperlink"/>
                </w:rPr>
                <w:t>Reserve Requirements - Regulation D</w:t>
              </w:r>
            </w:hyperlink>
            <w:r>
              <w:t xml:space="preserve"> </w:t>
            </w:r>
          </w:p>
        </w:tc>
        <w:tc>
          <w:tcPr>
            <w:tcW w:w="1440" w:type="dxa"/>
          </w:tcPr>
          <w:p w:rsidR="009C467C" w:rsidRPr="00F964D3" w:rsidRDefault="009C467C" w:rsidP="006E10DB">
            <w:pPr>
              <w:spacing w:after="120"/>
            </w:pPr>
            <w:r>
              <w:t>82 FR 28757</w:t>
            </w:r>
          </w:p>
        </w:tc>
        <w:tc>
          <w:tcPr>
            <w:tcW w:w="8208" w:type="dxa"/>
          </w:tcPr>
          <w:p w:rsidR="009C467C" w:rsidRDefault="009C467C" w:rsidP="000F5081">
            <w:r>
              <w:t xml:space="preserve">Interest rates on both the IORR (Interest on Reserve Requirements) and the IOER (Interest on Excess Reserves) is now 1.25%.  </w:t>
            </w:r>
          </w:p>
        </w:tc>
      </w:tr>
    </w:tbl>
    <w:p w:rsidR="00CE26B8" w:rsidRDefault="00CE26B8" w:rsidP="000F5081">
      <w:pPr>
        <w:spacing w:after="0" w:line="240" w:lineRule="auto"/>
      </w:pPr>
    </w:p>
    <w:tbl>
      <w:tblPr>
        <w:tblStyle w:val="TableGrid"/>
        <w:tblW w:w="13176" w:type="dxa"/>
        <w:tblLook w:val="04A0" w:firstRow="1" w:lastRow="0" w:firstColumn="1" w:lastColumn="0" w:noHBand="0" w:noVBand="1"/>
      </w:tblPr>
      <w:tblGrid>
        <w:gridCol w:w="3528"/>
        <w:gridCol w:w="9648"/>
      </w:tblGrid>
      <w:tr w:rsidR="00FF3D8B" w:rsidTr="00FF3D8B">
        <w:tc>
          <w:tcPr>
            <w:tcW w:w="3528" w:type="dxa"/>
            <w:tcBorders>
              <w:top w:val="nil"/>
              <w:left w:val="nil"/>
              <w:right w:val="nil"/>
            </w:tcBorders>
          </w:tcPr>
          <w:p w:rsidR="00FF3D8B" w:rsidRDefault="00FF3D8B" w:rsidP="00D07FA6">
            <w:pPr>
              <w:rPr>
                <w:b/>
              </w:rPr>
            </w:pPr>
            <w:r>
              <w:rPr>
                <w:b/>
              </w:rPr>
              <w:t>Reminders</w:t>
            </w:r>
          </w:p>
        </w:tc>
        <w:tc>
          <w:tcPr>
            <w:tcW w:w="9648" w:type="dxa"/>
            <w:tcBorders>
              <w:top w:val="nil"/>
              <w:left w:val="nil"/>
              <w:right w:val="nil"/>
            </w:tcBorders>
          </w:tcPr>
          <w:p w:rsidR="00FF3D8B" w:rsidRDefault="00FF3D8B" w:rsidP="00D07FA6">
            <w:pPr>
              <w:rPr>
                <w:b/>
              </w:rPr>
            </w:pPr>
            <w:r>
              <w:rPr>
                <w:b/>
              </w:rPr>
              <w:t>Summary</w:t>
            </w:r>
          </w:p>
        </w:tc>
      </w:tr>
      <w:tr w:rsidR="00FF3D8B" w:rsidRPr="00967605" w:rsidTr="00FF3D8B">
        <w:tc>
          <w:tcPr>
            <w:tcW w:w="3528" w:type="dxa"/>
          </w:tcPr>
          <w:p w:rsidR="00FF3D8B" w:rsidRPr="000E1F7A" w:rsidRDefault="009C467C" w:rsidP="00D07FA6">
            <w:hyperlink r:id="rId14" w:history="1">
              <w:r w:rsidR="00FF3D8B" w:rsidRPr="00FF3D8B">
                <w:rPr>
                  <w:rStyle w:val="Hyperlink"/>
                </w:rPr>
                <w:t>ITIN Expirations</w:t>
              </w:r>
            </w:hyperlink>
          </w:p>
        </w:tc>
        <w:tc>
          <w:tcPr>
            <w:tcW w:w="9648" w:type="dxa"/>
          </w:tcPr>
          <w:p w:rsidR="00FF3D8B" w:rsidRDefault="00FF3D8B" w:rsidP="00D07FA6">
            <w:pPr>
              <w:pStyle w:val="NormalWeb"/>
              <w:spacing w:before="0" w:beforeAutospacing="0" w:after="0" w:afterAutospacing="0"/>
              <w:rPr>
                <w:rFonts w:asciiTheme="minorHAnsi" w:eastAsiaTheme="minorEastAsia" w:hAnsiTheme="minorHAnsi" w:cstheme="minorBidi"/>
                <w:sz w:val="22"/>
                <w:szCs w:val="22"/>
              </w:rPr>
            </w:pPr>
            <w:r w:rsidRPr="00FF3D8B">
              <w:rPr>
                <w:rFonts w:asciiTheme="minorHAnsi" w:eastAsiaTheme="minorEastAsia" w:hAnsiTheme="minorHAnsi" w:cstheme="minorBidi"/>
                <w:sz w:val="22"/>
                <w:szCs w:val="22"/>
              </w:rPr>
              <w:t>ITINs that have not been used on a federal tax return at least once in the last three consecutive years will expire Dec. 31, 2017, and ITINs with middle digits 70, 71, 72 or 80 will also expire at the end of the year.</w:t>
            </w:r>
          </w:p>
        </w:tc>
      </w:tr>
      <w:tr w:rsidR="00FF3D8B" w:rsidRPr="00967605" w:rsidTr="00FF3D8B">
        <w:tc>
          <w:tcPr>
            <w:tcW w:w="3528" w:type="dxa"/>
          </w:tcPr>
          <w:p w:rsidR="00FF3D8B" w:rsidRDefault="009C467C" w:rsidP="00D07FA6">
            <w:hyperlink r:id="rId15" w:history="1">
              <w:proofErr w:type="gramStart"/>
              <w:r w:rsidR="002A2AC6" w:rsidRPr="002A2AC6">
                <w:rPr>
                  <w:rStyle w:val="Hyperlink"/>
                </w:rPr>
                <w:t>.</w:t>
              </w:r>
              <w:proofErr w:type="spellStart"/>
              <w:r w:rsidR="002A2AC6" w:rsidRPr="002A2AC6">
                <w:rPr>
                  <w:rStyle w:val="Hyperlink"/>
                </w:rPr>
                <w:t>creditunion</w:t>
              </w:r>
              <w:proofErr w:type="spellEnd"/>
              <w:proofErr w:type="gramEnd"/>
              <w:r w:rsidR="002A2AC6" w:rsidRPr="002A2AC6">
                <w:rPr>
                  <w:rStyle w:val="Hyperlink"/>
                </w:rPr>
                <w:t xml:space="preserve"> domain</w:t>
              </w:r>
            </w:hyperlink>
            <w:r w:rsidR="002A2AC6">
              <w:t xml:space="preserve"> </w:t>
            </w:r>
          </w:p>
        </w:tc>
        <w:tc>
          <w:tcPr>
            <w:tcW w:w="9648" w:type="dxa"/>
          </w:tcPr>
          <w:p w:rsidR="00FF3D8B" w:rsidRDefault="002A2AC6" w:rsidP="002A2AC6">
            <w:pPr>
              <w:pStyle w:val="NormalWeb"/>
              <w:spacing w:after="0"/>
              <w:rPr>
                <w:rFonts w:asciiTheme="minorHAnsi" w:eastAsiaTheme="minorEastAsia" w:hAnsiTheme="minorHAnsi" w:cstheme="minorBidi"/>
                <w:sz w:val="22"/>
                <w:szCs w:val="22"/>
              </w:rPr>
            </w:pPr>
            <w:r w:rsidRPr="002A2AC6">
              <w:rPr>
                <w:rFonts w:asciiTheme="minorHAnsi" w:eastAsiaTheme="minorEastAsia" w:hAnsiTheme="minorHAnsi" w:cstheme="minorBidi"/>
                <w:sz w:val="22"/>
                <w:szCs w:val="22"/>
              </w:rPr>
              <w:t xml:space="preserve">CUNA has announced that credit unions are now able to register and identify themselves and their websites with a new domain, </w:t>
            </w:r>
            <w:proofErr w:type="gramStart"/>
            <w:r w:rsidRPr="002A2AC6">
              <w:rPr>
                <w:rFonts w:asciiTheme="minorHAnsi" w:eastAsiaTheme="minorEastAsia" w:hAnsiTheme="minorHAnsi" w:cstheme="minorBidi"/>
                <w:sz w:val="22"/>
                <w:szCs w:val="22"/>
              </w:rPr>
              <w:t>“.</w:t>
            </w:r>
            <w:proofErr w:type="spellStart"/>
            <w:r w:rsidRPr="002A2AC6">
              <w:rPr>
                <w:rFonts w:asciiTheme="minorHAnsi" w:eastAsiaTheme="minorEastAsia" w:hAnsiTheme="minorHAnsi" w:cstheme="minorBidi"/>
                <w:sz w:val="22"/>
                <w:szCs w:val="22"/>
              </w:rPr>
              <w:t>creditunion</w:t>
            </w:r>
            <w:proofErr w:type="spellEnd"/>
            <w:proofErr w:type="gramEnd"/>
            <w:r w:rsidRPr="002A2AC6">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w:t>
            </w:r>
            <w:r w:rsidRPr="002A2AC6">
              <w:rPr>
                <w:rFonts w:asciiTheme="minorHAnsi" w:eastAsiaTheme="minorEastAsia" w:hAnsiTheme="minorHAnsi" w:cstheme="minorBidi"/>
                <w:sz w:val="22"/>
                <w:szCs w:val="22"/>
              </w:rPr>
              <w:t xml:space="preserve">The domain names will be awarded on a first-come, first-served basis and are available exclusively to currently operating, natural-person U.S. credit unions. The website </w:t>
            </w:r>
            <w:proofErr w:type="spellStart"/>
            <w:proofErr w:type="gramStart"/>
            <w:r w:rsidRPr="002A2AC6">
              <w:rPr>
                <w:rFonts w:asciiTheme="minorHAnsi" w:eastAsiaTheme="minorEastAsia" w:hAnsiTheme="minorHAnsi" w:cstheme="minorBidi"/>
                <w:sz w:val="22"/>
                <w:szCs w:val="22"/>
              </w:rPr>
              <w:t>register.creditunion</w:t>
            </w:r>
            <w:proofErr w:type="spellEnd"/>
            <w:proofErr w:type="gramEnd"/>
            <w:r w:rsidRPr="002A2AC6">
              <w:rPr>
                <w:rFonts w:asciiTheme="minorHAnsi" w:eastAsiaTheme="minorEastAsia" w:hAnsiTheme="minorHAnsi" w:cstheme="minorBidi"/>
                <w:sz w:val="22"/>
                <w:szCs w:val="22"/>
              </w:rPr>
              <w:t xml:space="preserve"> has useful additional information about the steps a credit union will need to take to secure a .</w:t>
            </w:r>
            <w:proofErr w:type="spellStart"/>
            <w:r w:rsidRPr="002A2AC6">
              <w:rPr>
                <w:rFonts w:asciiTheme="minorHAnsi" w:eastAsiaTheme="minorEastAsia" w:hAnsiTheme="minorHAnsi" w:cstheme="minorBidi"/>
                <w:sz w:val="22"/>
                <w:szCs w:val="22"/>
              </w:rPr>
              <w:t>creditunion</w:t>
            </w:r>
            <w:proofErr w:type="spellEnd"/>
            <w:r w:rsidRPr="002A2AC6">
              <w:rPr>
                <w:rFonts w:asciiTheme="minorHAnsi" w:eastAsiaTheme="minorEastAsia" w:hAnsiTheme="minorHAnsi" w:cstheme="minorBidi"/>
                <w:sz w:val="22"/>
                <w:szCs w:val="22"/>
              </w:rPr>
              <w:t xml:space="preserve"> domain for themselves.</w:t>
            </w:r>
          </w:p>
        </w:tc>
      </w:tr>
    </w:tbl>
    <w:p w:rsidR="00FF3D8B" w:rsidRPr="00CE26B8" w:rsidRDefault="00FF3D8B" w:rsidP="000F5081">
      <w:pPr>
        <w:spacing w:after="0" w:line="240" w:lineRule="auto"/>
      </w:pPr>
    </w:p>
    <w:p w:rsidR="005908B4" w:rsidRDefault="005908B4" w:rsidP="007B2E65">
      <w:pPr>
        <w:spacing w:before="240" w:after="0"/>
        <w:rPr>
          <w:b/>
          <w:sz w:val="28"/>
          <w:szCs w:val="28"/>
        </w:rPr>
      </w:pPr>
    </w:p>
    <w:p w:rsidR="003B2BCF" w:rsidRDefault="00DC082C" w:rsidP="007B2E65">
      <w:pPr>
        <w:spacing w:before="240" w:after="0"/>
        <w:rPr>
          <w:b/>
          <w:sz w:val="28"/>
          <w:szCs w:val="28"/>
        </w:rPr>
      </w:pPr>
      <w:r>
        <w:rPr>
          <w:b/>
          <w:sz w:val="28"/>
          <w:szCs w:val="28"/>
        </w:rPr>
        <w:t>PROPOSED REGULATIONS</w:t>
      </w:r>
    </w:p>
    <w:tbl>
      <w:tblPr>
        <w:tblStyle w:val="TableGrid"/>
        <w:tblW w:w="13176" w:type="dxa"/>
        <w:tblLook w:val="04A0" w:firstRow="1" w:lastRow="0" w:firstColumn="1" w:lastColumn="0" w:noHBand="0" w:noVBand="1"/>
      </w:tblPr>
      <w:tblGrid>
        <w:gridCol w:w="1278"/>
        <w:gridCol w:w="2282"/>
        <w:gridCol w:w="1411"/>
        <w:gridCol w:w="8205"/>
      </w:tblGrid>
      <w:tr w:rsidR="00DC082C" w:rsidTr="00413996">
        <w:tc>
          <w:tcPr>
            <w:tcW w:w="1278" w:type="dxa"/>
            <w:tcBorders>
              <w:top w:val="nil"/>
              <w:left w:val="nil"/>
              <w:right w:val="nil"/>
            </w:tcBorders>
          </w:tcPr>
          <w:p w:rsidR="00DC082C" w:rsidRDefault="00DC082C" w:rsidP="00413996">
            <w:pPr>
              <w:rPr>
                <w:b/>
              </w:rPr>
            </w:pPr>
            <w:r>
              <w:rPr>
                <w:b/>
              </w:rPr>
              <w:t>Comments Due</w:t>
            </w:r>
          </w:p>
        </w:tc>
        <w:tc>
          <w:tcPr>
            <w:tcW w:w="2282" w:type="dxa"/>
            <w:tcBorders>
              <w:top w:val="nil"/>
              <w:left w:val="nil"/>
              <w:right w:val="nil"/>
            </w:tcBorders>
          </w:tcPr>
          <w:p w:rsidR="00DC082C" w:rsidRDefault="00DC082C" w:rsidP="00413996">
            <w:pPr>
              <w:rPr>
                <w:b/>
              </w:rPr>
            </w:pPr>
            <w:r>
              <w:rPr>
                <w:b/>
              </w:rPr>
              <w:t>Regulation</w:t>
            </w:r>
          </w:p>
        </w:tc>
        <w:tc>
          <w:tcPr>
            <w:tcW w:w="1411" w:type="dxa"/>
            <w:tcBorders>
              <w:top w:val="nil"/>
              <w:left w:val="nil"/>
              <w:right w:val="nil"/>
            </w:tcBorders>
          </w:tcPr>
          <w:p w:rsidR="00DC082C" w:rsidRDefault="00DC082C" w:rsidP="00413996">
            <w:pPr>
              <w:rPr>
                <w:b/>
              </w:rPr>
            </w:pPr>
            <w:r>
              <w:rPr>
                <w:b/>
              </w:rPr>
              <w:t>Citation</w:t>
            </w:r>
          </w:p>
        </w:tc>
        <w:tc>
          <w:tcPr>
            <w:tcW w:w="8205" w:type="dxa"/>
            <w:tcBorders>
              <w:top w:val="nil"/>
              <w:left w:val="nil"/>
              <w:right w:val="nil"/>
            </w:tcBorders>
          </w:tcPr>
          <w:p w:rsidR="00DC082C" w:rsidRDefault="00DC082C" w:rsidP="00413996">
            <w:pPr>
              <w:rPr>
                <w:b/>
              </w:rPr>
            </w:pPr>
            <w:r>
              <w:rPr>
                <w:b/>
              </w:rPr>
              <w:t>Summary</w:t>
            </w:r>
          </w:p>
        </w:tc>
      </w:tr>
      <w:tr w:rsidR="00152E97" w:rsidRPr="00967605" w:rsidTr="00413996">
        <w:tc>
          <w:tcPr>
            <w:tcW w:w="1278" w:type="dxa"/>
          </w:tcPr>
          <w:p w:rsidR="00152E97" w:rsidRPr="000E1F7A" w:rsidRDefault="004B4C3C" w:rsidP="00413996">
            <w:r>
              <w:t>08/14/2017</w:t>
            </w:r>
          </w:p>
        </w:tc>
        <w:tc>
          <w:tcPr>
            <w:tcW w:w="2282" w:type="dxa"/>
          </w:tcPr>
          <w:p w:rsidR="00152E97" w:rsidRDefault="009C467C" w:rsidP="00413996">
            <w:hyperlink r:id="rId16" w:history="1">
              <w:r w:rsidR="000209E6" w:rsidRPr="000209E6">
                <w:rPr>
                  <w:rStyle w:val="Hyperlink"/>
                </w:rPr>
                <w:t>Prepaid Rule (Regulations E &amp; Z)</w:t>
              </w:r>
            </w:hyperlink>
          </w:p>
        </w:tc>
        <w:tc>
          <w:tcPr>
            <w:tcW w:w="1411" w:type="dxa"/>
          </w:tcPr>
          <w:p w:rsidR="00152E97" w:rsidRPr="000E1F7A" w:rsidRDefault="000E30F3" w:rsidP="00413996">
            <w:r>
              <w:t>82 FR 29630</w:t>
            </w:r>
          </w:p>
        </w:tc>
        <w:tc>
          <w:tcPr>
            <w:tcW w:w="8205" w:type="dxa"/>
          </w:tcPr>
          <w:p w:rsidR="000209E6" w:rsidRPr="000209E6" w:rsidRDefault="000209E6" w:rsidP="000209E6">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Pr="000209E6">
              <w:rPr>
                <w:rFonts w:asciiTheme="minorHAnsi" w:eastAsiaTheme="minorEastAsia" w:hAnsiTheme="minorHAnsi" w:cstheme="minorBidi"/>
                <w:sz w:val="22"/>
                <w:szCs w:val="22"/>
              </w:rPr>
              <w:t>he CFPB issued proposed changes to the prepaid accounts final rule published last November. The final rule requires financial institutions to limit consumers’ losses when funds are stolen or cards are lost, investigate and resolve errors, provide free and easy access to account information, and give prepaid consumers new “Kno</w:t>
            </w:r>
            <w:r>
              <w:rPr>
                <w:rFonts w:asciiTheme="minorHAnsi" w:eastAsiaTheme="minorEastAsia" w:hAnsiTheme="minorHAnsi" w:cstheme="minorBidi"/>
                <w:sz w:val="22"/>
                <w:szCs w:val="22"/>
              </w:rPr>
              <w:t xml:space="preserve">w Before You Owe” disclosures. </w:t>
            </w:r>
          </w:p>
          <w:p w:rsidR="000209E6" w:rsidRPr="000209E6" w:rsidRDefault="000209E6" w:rsidP="000209E6">
            <w:pPr>
              <w:pStyle w:val="NormalWeb"/>
              <w:spacing w:before="0" w:beforeAutospacing="0" w:after="0" w:afterAutospacing="0"/>
              <w:rPr>
                <w:rFonts w:asciiTheme="minorHAnsi" w:eastAsiaTheme="minorEastAsia" w:hAnsiTheme="minorHAnsi" w:cstheme="minorBidi"/>
                <w:sz w:val="22"/>
                <w:szCs w:val="22"/>
              </w:rPr>
            </w:pPr>
            <w:r w:rsidRPr="000209E6">
              <w:rPr>
                <w:rFonts w:asciiTheme="minorHAnsi" w:eastAsiaTheme="minorEastAsia" w:hAnsiTheme="minorHAnsi" w:cstheme="minorBidi"/>
                <w:sz w:val="22"/>
                <w:szCs w:val="22"/>
              </w:rPr>
              <w:t xml:space="preserve">The final rule also generally requires companies to offer protections </w:t>
            </w:r>
            <w:proofErr w:type="gramStart"/>
            <w:r w:rsidRPr="000209E6">
              <w:rPr>
                <w:rFonts w:asciiTheme="minorHAnsi" w:eastAsiaTheme="minorEastAsia" w:hAnsiTheme="minorHAnsi" w:cstheme="minorBidi"/>
                <w:sz w:val="22"/>
                <w:szCs w:val="22"/>
              </w:rPr>
              <w:t>similar to</w:t>
            </w:r>
            <w:proofErr w:type="gramEnd"/>
            <w:r w:rsidRPr="000209E6">
              <w:rPr>
                <w:rFonts w:asciiTheme="minorHAnsi" w:eastAsiaTheme="minorEastAsia" w:hAnsiTheme="minorHAnsi" w:cstheme="minorBidi"/>
                <w:sz w:val="22"/>
                <w:szCs w:val="22"/>
              </w:rPr>
              <w:t xml:space="preserve"> those for credit cards if consumers are allowed to use credit on their accounts to pay for transactions that they lack the money to cover.  </w:t>
            </w:r>
          </w:p>
          <w:p w:rsidR="00152E97" w:rsidRDefault="000209E6" w:rsidP="000209E6">
            <w:pPr>
              <w:pStyle w:val="NormalWeb"/>
              <w:spacing w:before="0" w:beforeAutospacing="0" w:after="0" w:afterAutospacing="0"/>
              <w:rPr>
                <w:rFonts w:asciiTheme="minorHAnsi" w:eastAsiaTheme="minorEastAsia" w:hAnsiTheme="minorHAnsi" w:cstheme="minorBidi"/>
                <w:sz w:val="22"/>
                <w:szCs w:val="22"/>
              </w:rPr>
            </w:pPr>
            <w:r w:rsidRPr="000209E6">
              <w:rPr>
                <w:rFonts w:asciiTheme="minorHAnsi" w:eastAsiaTheme="minorEastAsia" w:hAnsiTheme="minorHAnsi" w:cstheme="minorBidi"/>
                <w:sz w:val="22"/>
                <w:szCs w:val="22"/>
              </w:rPr>
              <w:lastRenderedPageBreak/>
              <w:t>The proposal would make changes with respect to application of credit-related provisions to digital wallets that can store funds, error resolution and limitations on liability for unverified prepaid accounts, and other clarifications and minor adjustments.</w:t>
            </w:r>
          </w:p>
        </w:tc>
      </w:tr>
      <w:tr w:rsidR="00DD09C7" w:rsidRPr="00967605" w:rsidTr="00413996">
        <w:tc>
          <w:tcPr>
            <w:tcW w:w="1278" w:type="dxa"/>
          </w:tcPr>
          <w:p w:rsidR="00DD09C7" w:rsidRDefault="00182997" w:rsidP="00413996">
            <w:r>
              <w:lastRenderedPageBreak/>
              <w:t>08/07/2017</w:t>
            </w:r>
          </w:p>
        </w:tc>
        <w:tc>
          <w:tcPr>
            <w:tcW w:w="2282" w:type="dxa"/>
          </w:tcPr>
          <w:p w:rsidR="00DD09C7" w:rsidRDefault="009C467C" w:rsidP="00413996">
            <w:hyperlink r:id="rId17" w:history="1">
              <w:r w:rsidR="0015450F" w:rsidRPr="0015450F">
                <w:rPr>
                  <w:rStyle w:val="Hyperlink"/>
                </w:rPr>
                <w:t>Supervisory Review Committee; Procedures for Appealing Material Supervisory Determinations</w:t>
              </w:r>
            </w:hyperlink>
          </w:p>
        </w:tc>
        <w:tc>
          <w:tcPr>
            <w:tcW w:w="1411" w:type="dxa"/>
          </w:tcPr>
          <w:p w:rsidR="00DD09C7" w:rsidRDefault="0015450F" w:rsidP="00413996">
            <w:r>
              <w:t>82 FR 26391</w:t>
            </w:r>
          </w:p>
        </w:tc>
        <w:tc>
          <w:tcPr>
            <w:tcW w:w="8205" w:type="dxa"/>
          </w:tcPr>
          <w:p w:rsidR="00DD09C7" w:rsidRDefault="0015450F" w:rsidP="00413996">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NCUA issued a proposed rule to amend its procedures for appealing material supervisory determinations.  </w:t>
            </w:r>
            <w:r w:rsidRPr="0015450F">
              <w:rPr>
                <w:rFonts w:asciiTheme="minorHAnsi" w:eastAsiaTheme="minorEastAsia" w:hAnsiTheme="minorHAnsi" w:cstheme="minorBidi"/>
                <w:sz w:val="22"/>
                <w:szCs w:val="22"/>
              </w:rPr>
              <w:t>The proposed rule would: (1) Expand the number of material supervisory determinations appealable to the SRC; (2) create an optional intermediate level of review before an appeal is brought to the SRC; and (3) change the nature and composition of the SRC. The proposed rule would be codified as Subpart A to part 746.</w:t>
            </w:r>
          </w:p>
        </w:tc>
      </w:tr>
      <w:tr w:rsidR="00182997" w:rsidRPr="00967605" w:rsidTr="00413996">
        <w:tc>
          <w:tcPr>
            <w:tcW w:w="1278" w:type="dxa"/>
          </w:tcPr>
          <w:p w:rsidR="00182997" w:rsidRDefault="00F04513" w:rsidP="00413996">
            <w:r>
              <w:t>08/07/2017</w:t>
            </w:r>
          </w:p>
        </w:tc>
        <w:tc>
          <w:tcPr>
            <w:tcW w:w="2282" w:type="dxa"/>
          </w:tcPr>
          <w:p w:rsidR="00182997" w:rsidRDefault="009C467C" w:rsidP="00413996">
            <w:hyperlink r:id="rId18" w:history="1">
              <w:r w:rsidR="0015450F" w:rsidRPr="0015450F">
                <w:rPr>
                  <w:rStyle w:val="Hyperlink"/>
                </w:rPr>
                <w:t>Appeals Procedures</w:t>
              </w:r>
            </w:hyperlink>
          </w:p>
        </w:tc>
        <w:tc>
          <w:tcPr>
            <w:tcW w:w="1411" w:type="dxa"/>
          </w:tcPr>
          <w:p w:rsidR="00182997" w:rsidRDefault="00F04513" w:rsidP="00413996">
            <w:r>
              <w:t>82 FR 26378</w:t>
            </w:r>
          </w:p>
        </w:tc>
        <w:tc>
          <w:tcPr>
            <w:tcW w:w="8205" w:type="dxa"/>
          </w:tcPr>
          <w:p w:rsidR="00182997" w:rsidRDefault="0015450F" w:rsidP="00413996">
            <w:pPr>
              <w:pStyle w:val="NormalWeb"/>
              <w:spacing w:before="0" w:beforeAutospacing="0" w:after="0" w:afterAutospacing="0"/>
              <w:rPr>
                <w:rFonts w:asciiTheme="minorHAnsi" w:eastAsiaTheme="minorEastAsia" w:hAnsiTheme="minorHAnsi" w:cstheme="minorBidi"/>
                <w:sz w:val="22"/>
                <w:szCs w:val="22"/>
              </w:rPr>
            </w:pPr>
            <w:r w:rsidRPr="0015450F">
              <w:rPr>
                <w:rFonts w:asciiTheme="minorHAnsi" w:eastAsiaTheme="minorEastAsia" w:hAnsiTheme="minorHAnsi" w:cstheme="minorBidi"/>
                <w:sz w:val="22"/>
                <w:szCs w:val="22"/>
              </w:rPr>
              <w:t>The NCUA proposes to adopt procedures to govern appeals to the Board that would apply to agency regulations that currently have their own embedded appeals provisions and will replace those current provisions. The procedures would apply in cases in which a decision rendered by a regional director or other program office director is subject to appeal to the Board. The proposed procedures are intended to result in greater efficiency, consistency, and better understanding of the way in which matters under covered regulations may be appealed to the Board.</w:t>
            </w:r>
          </w:p>
        </w:tc>
      </w:tr>
      <w:tr w:rsidR="00182997" w:rsidRPr="00967605" w:rsidTr="00413996">
        <w:tc>
          <w:tcPr>
            <w:tcW w:w="1278" w:type="dxa"/>
          </w:tcPr>
          <w:p w:rsidR="00182997" w:rsidRDefault="00F04513" w:rsidP="00413996">
            <w:r>
              <w:t>08/07/2017</w:t>
            </w:r>
          </w:p>
        </w:tc>
        <w:tc>
          <w:tcPr>
            <w:tcW w:w="2282" w:type="dxa"/>
          </w:tcPr>
          <w:p w:rsidR="00182997" w:rsidRDefault="009C467C" w:rsidP="00413996">
            <w:hyperlink r:id="rId19" w:history="1">
              <w:r w:rsidR="00F04513" w:rsidRPr="00F04513">
                <w:rPr>
                  <w:rStyle w:val="Hyperlink"/>
                </w:rPr>
                <w:t>Bylaws; Bank Conversions and Mergers; and Voluntary Mergers of Federally Insured Credit Unions</w:t>
              </w:r>
            </w:hyperlink>
          </w:p>
        </w:tc>
        <w:tc>
          <w:tcPr>
            <w:tcW w:w="1411" w:type="dxa"/>
          </w:tcPr>
          <w:p w:rsidR="00182997" w:rsidRDefault="00F04513" w:rsidP="00413996">
            <w:r>
              <w:t>82 FR 26605</w:t>
            </w:r>
          </w:p>
        </w:tc>
        <w:tc>
          <w:tcPr>
            <w:tcW w:w="8205" w:type="dxa"/>
          </w:tcPr>
          <w:p w:rsidR="00182997" w:rsidRDefault="00F04513" w:rsidP="00413996">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NCUA </w:t>
            </w:r>
            <w:r w:rsidRPr="00F04513">
              <w:rPr>
                <w:rFonts w:asciiTheme="minorHAnsi" w:eastAsiaTheme="minorEastAsia" w:hAnsiTheme="minorHAnsi" w:cstheme="minorBidi"/>
                <w:sz w:val="22"/>
                <w:szCs w:val="22"/>
              </w:rPr>
              <w:t>proposes to revise the procedures a federal credit union (FCU) must follow to merge voluntarily with another credit union. The proposed changes: Revise and clarify the contents and format of the member notice; require merging FCUs to disclose all merger-related financial arrangements for covered persons; increase the minimum member notice period; and provide procedures to allow reasonable member-to-member communications regarding the proposed merger. The proposed changes also make conforming amendments to NCUA regulations governing termination of federal share insurance when the continuing credit union is not an FCU.</w:t>
            </w:r>
          </w:p>
        </w:tc>
      </w:tr>
      <w:tr w:rsidR="00182997" w:rsidRPr="00967605" w:rsidTr="00413996">
        <w:tc>
          <w:tcPr>
            <w:tcW w:w="1278" w:type="dxa"/>
          </w:tcPr>
          <w:p w:rsidR="00182997" w:rsidRDefault="001C2463" w:rsidP="00413996">
            <w:r>
              <w:t>08/01/2017</w:t>
            </w:r>
          </w:p>
        </w:tc>
        <w:tc>
          <w:tcPr>
            <w:tcW w:w="2282" w:type="dxa"/>
          </w:tcPr>
          <w:p w:rsidR="00182997" w:rsidRDefault="001C2463" w:rsidP="00413996">
            <w:hyperlink r:id="rId20" w:history="1">
              <w:r w:rsidR="00F964D3" w:rsidRPr="001C2463">
                <w:rPr>
                  <w:rStyle w:val="Hyperlink"/>
                </w:rPr>
                <w:t>Availability of Funds and Collection of Checks Regulation CC</w:t>
              </w:r>
            </w:hyperlink>
          </w:p>
        </w:tc>
        <w:tc>
          <w:tcPr>
            <w:tcW w:w="1411" w:type="dxa"/>
          </w:tcPr>
          <w:p w:rsidR="00182997" w:rsidRDefault="001C2463" w:rsidP="00413996">
            <w:r>
              <w:t>82 FR 25539</w:t>
            </w:r>
          </w:p>
        </w:tc>
        <w:tc>
          <w:tcPr>
            <w:tcW w:w="8205" w:type="dxa"/>
          </w:tcPr>
          <w:p w:rsidR="00182997" w:rsidRDefault="001C2463" w:rsidP="00413996">
            <w:pPr>
              <w:pStyle w:val="NormalWeb"/>
              <w:spacing w:before="0" w:beforeAutospacing="0" w:after="0" w:afterAutospacing="0"/>
              <w:rPr>
                <w:rFonts w:asciiTheme="minorHAnsi" w:eastAsiaTheme="minorEastAsia" w:hAnsiTheme="minorHAnsi" w:cstheme="minorBidi"/>
                <w:sz w:val="22"/>
                <w:szCs w:val="22"/>
              </w:rPr>
            </w:pPr>
            <w:r w:rsidRPr="001C2463">
              <w:rPr>
                <w:rFonts w:asciiTheme="minorHAnsi" w:eastAsiaTheme="minorEastAsia" w:hAnsiTheme="minorHAnsi" w:cstheme="minorBidi"/>
                <w:sz w:val="22"/>
                <w:szCs w:val="22"/>
              </w:rPr>
              <w:t>The Board is proposing to amend Regulation CC to address situations where there is a dispute as to whether a check has been altered or is a forgery, and the original paper check is not available for inspection. The proposed rule would adopt a presumption of alteration for any dispute over whether the dollar amount or the payee on a substitute check or electronic check has been altered or whether the substitute check or electronic check is derived from an original check that is a forgery. This rule is intended to provide clarity as to the burden of proof in these situations.</w:t>
            </w:r>
          </w:p>
        </w:tc>
      </w:tr>
    </w:tbl>
    <w:p w:rsidR="000C6F62" w:rsidRDefault="000C6F62" w:rsidP="000C6F62">
      <w:pPr>
        <w:spacing w:before="240" w:after="0"/>
        <w:rPr>
          <w:b/>
          <w:sz w:val="28"/>
          <w:szCs w:val="28"/>
        </w:rPr>
      </w:pPr>
      <w:r>
        <w:rPr>
          <w:b/>
          <w:sz w:val="28"/>
          <w:szCs w:val="28"/>
        </w:rPr>
        <w:lastRenderedPageBreak/>
        <w:t>RESOURCES</w:t>
      </w:r>
      <w:r w:rsidR="008756E8">
        <w:rPr>
          <w:b/>
          <w:sz w:val="28"/>
          <w:szCs w:val="28"/>
        </w:rPr>
        <w:t>/GUIDANCE</w:t>
      </w:r>
    </w:p>
    <w:tbl>
      <w:tblPr>
        <w:tblStyle w:val="TableGrid"/>
        <w:tblW w:w="13158" w:type="dxa"/>
        <w:tblLook w:val="04A0" w:firstRow="1" w:lastRow="0" w:firstColumn="1" w:lastColumn="0" w:noHBand="0" w:noVBand="1"/>
      </w:tblPr>
      <w:tblGrid>
        <w:gridCol w:w="2283"/>
        <w:gridCol w:w="10875"/>
      </w:tblGrid>
      <w:tr w:rsidR="000C6F62" w:rsidTr="000C6F62">
        <w:tc>
          <w:tcPr>
            <w:tcW w:w="2283" w:type="dxa"/>
            <w:tcBorders>
              <w:top w:val="nil"/>
              <w:left w:val="nil"/>
              <w:right w:val="nil"/>
            </w:tcBorders>
          </w:tcPr>
          <w:p w:rsidR="000C6F62" w:rsidRDefault="000C6F62" w:rsidP="00413996">
            <w:pPr>
              <w:rPr>
                <w:b/>
              </w:rPr>
            </w:pPr>
            <w:r>
              <w:rPr>
                <w:b/>
              </w:rPr>
              <w:t>Guidance</w:t>
            </w:r>
          </w:p>
        </w:tc>
        <w:tc>
          <w:tcPr>
            <w:tcW w:w="10875" w:type="dxa"/>
            <w:tcBorders>
              <w:top w:val="nil"/>
              <w:left w:val="nil"/>
              <w:right w:val="nil"/>
            </w:tcBorders>
          </w:tcPr>
          <w:p w:rsidR="000C6F62" w:rsidRDefault="000C6F62" w:rsidP="00413996">
            <w:pPr>
              <w:rPr>
                <w:b/>
              </w:rPr>
            </w:pPr>
            <w:r>
              <w:rPr>
                <w:b/>
              </w:rPr>
              <w:t>Summary</w:t>
            </w:r>
          </w:p>
        </w:tc>
      </w:tr>
      <w:tr w:rsidR="00957814" w:rsidRPr="00967605" w:rsidTr="000C6F62">
        <w:tc>
          <w:tcPr>
            <w:tcW w:w="2283" w:type="dxa"/>
          </w:tcPr>
          <w:p w:rsidR="00957814" w:rsidRDefault="009C467C" w:rsidP="00413996">
            <w:hyperlink r:id="rId21" w:history="1">
              <w:r w:rsidR="00664528" w:rsidRPr="00664528">
                <w:rPr>
                  <w:rStyle w:val="Hyperlink"/>
                </w:rPr>
                <w:t>Fair Lending Report</w:t>
              </w:r>
            </w:hyperlink>
          </w:p>
        </w:tc>
        <w:tc>
          <w:tcPr>
            <w:tcW w:w="10875" w:type="dxa"/>
          </w:tcPr>
          <w:p w:rsidR="00957814" w:rsidRDefault="00664528" w:rsidP="00A809DC">
            <w:pPr>
              <w:pStyle w:val="NormalWeb"/>
              <w:spacing w:before="0" w:beforeAutospacing="0" w:after="0" w:afterAutospacing="0"/>
              <w:rPr>
                <w:rFonts w:asciiTheme="minorHAnsi" w:hAnsiTheme="minorHAnsi" w:cs="Arial"/>
                <w:sz w:val="22"/>
                <w:szCs w:val="22"/>
                <w:shd w:val="clear" w:color="auto" w:fill="FFFFFF"/>
              </w:rPr>
            </w:pPr>
            <w:r>
              <w:rPr>
                <w:rFonts w:asciiTheme="minorHAnsi" w:hAnsiTheme="minorHAnsi" w:cs="Arial"/>
                <w:sz w:val="22"/>
                <w:szCs w:val="22"/>
                <w:shd w:val="clear" w:color="auto" w:fill="FFFFFF"/>
              </w:rPr>
              <w:t>The CFPB issued its fair lending report which describes the bureau’s fair lending activities in prioritization, supervision, enforcement, rulemaking, interagency coordination, and outreach for 2016.</w:t>
            </w:r>
          </w:p>
        </w:tc>
      </w:tr>
      <w:tr w:rsidR="00D4416D" w:rsidRPr="00967605" w:rsidTr="000C6F62">
        <w:tc>
          <w:tcPr>
            <w:tcW w:w="2283" w:type="dxa"/>
          </w:tcPr>
          <w:p w:rsidR="00D4416D" w:rsidRDefault="009C467C" w:rsidP="00413996">
            <w:hyperlink r:id="rId22" w:history="1">
              <w:r w:rsidR="00011F26" w:rsidRPr="00011F26">
                <w:rPr>
                  <w:rStyle w:val="Hyperlink"/>
                </w:rPr>
                <w:t>Consumer Compliance Outlook</w:t>
              </w:r>
            </w:hyperlink>
          </w:p>
        </w:tc>
        <w:tc>
          <w:tcPr>
            <w:tcW w:w="10875" w:type="dxa"/>
          </w:tcPr>
          <w:p w:rsidR="00D4416D" w:rsidRDefault="00011F26" w:rsidP="00D4416D">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The issue covers combating elder financial abuse, finance charges for closed-end credit, the new Uniform Consumer Compliance Rating System, and regulatory updates.</w:t>
            </w:r>
          </w:p>
        </w:tc>
      </w:tr>
      <w:tr w:rsidR="00D4416D" w:rsidRPr="00967605" w:rsidTr="000C6F62">
        <w:tc>
          <w:tcPr>
            <w:tcW w:w="2283" w:type="dxa"/>
          </w:tcPr>
          <w:p w:rsidR="00D4416D" w:rsidRDefault="009C467C" w:rsidP="00413996">
            <w:hyperlink r:id="rId23" w:history="1">
              <w:r w:rsidR="00186550" w:rsidRPr="00C6732A">
                <w:rPr>
                  <w:rStyle w:val="Hyperlink"/>
                </w:rPr>
                <w:t>FTC’s Financial Acts Enforcement Report</w:t>
              </w:r>
            </w:hyperlink>
          </w:p>
        </w:tc>
        <w:tc>
          <w:tcPr>
            <w:tcW w:w="10875" w:type="dxa"/>
          </w:tcPr>
          <w:p w:rsidR="00D4416D" w:rsidRPr="00023584" w:rsidRDefault="00C6732A" w:rsidP="00023584">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The report covers the FTC’s enforcement activities in 2016 relating to compliance with Regulation Z, Regulation M, and Regulation E.</w:t>
            </w:r>
          </w:p>
        </w:tc>
      </w:tr>
      <w:tr w:rsidR="00651041" w:rsidRPr="00967605" w:rsidTr="000C6F62">
        <w:tc>
          <w:tcPr>
            <w:tcW w:w="2283" w:type="dxa"/>
          </w:tcPr>
          <w:p w:rsidR="00651041" w:rsidRDefault="009C467C" w:rsidP="00413996">
            <w:hyperlink r:id="rId24" w:history="1">
              <w:r w:rsidR="00C6732A" w:rsidRPr="00C6732A">
                <w:rPr>
                  <w:rStyle w:val="Hyperlink"/>
                </w:rPr>
                <w:t>FAQs on President Trump’s Cuba Announcement</w:t>
              </w:r>
            </w:hyperlink>
          </w:p>
        </w:tc>
        <w:tc>
          <w:tcPr>
            <w:tcW w:w="10875" w:type="dxa"/>
          </w:tcPr>
          <w:p w:rsidR="00FC4C42" w:rsidRPr="00023584" w:rsidRDefault="00C6732A" w:rsidP="00023584">
            <w:pPr>
              <w:pStyle w:val="NormalWeb"/>
              <w:spacing w:after="0" w:afterAutospacing="0"/>
              <w:rPr>
                <w:rFonts w:asciiTheme="minorHAnsi" w:hAnsiTheme="minorHAnsi" w:cs="Arial"/>
                <w:sz w:val="22"/>
                <w:szCs w:val="22"/>
                <w:shd w:val="clear" w:color="auto" w:fill="FFFFFF"/>
              </w:rPr>
            </w:pPr>
            <w:r w:rsidRPr="00C6732A">
              <w:rPr>
                <w:rFonts w:asciiTheme="minorHAnsi" w:hAnsiTheme="minorHAnsi" w:cs="Arial"/>
                <w:sz w:val="22"/>
                <w:szCs w:val="22"/>
                <w:shd w:val="clear" w:color="auto" w:fill="FFFFFF"/>
              </w:rPr>
              <w:t xml:space="preserve">OFAC has posted new frequently asked questions to address </w:t>
            </w:r>
            <w:r>
              <w:rPr>
                <w:rFonts w:asciiTheme="minorHAnsi" w:hAnsiTheme="minorHAnsi" w:cs="Arial"/>
                <w:sz w:val="22"/>
                <w:szCs w:val="22"/>
                <w:shd w:val="clear" w:color="auto" w:fill="FFFFFF"/>
              </w:rPr>
              <w:t>the</w:t>
            </w:r>
            <w:r w:rsidRPr="00C6732A">
              <w:rPr>
                <w:rFonts w:asciiTheme="minorHAnsi" w:hAnsiTheme="minorHAnsi" w:cs="Arial"/>
                <w:sz w:val="22"/>
                <w:szCs w:val="22"/>
                <w:shd w:val="clear" w:color="auto" w:fill="FFFFFF"/>
              </w:rPr>
              <w:t xml:space="preserve"> changes to United States policy toward Cuba. The new policy channels commercial activities away from the Cuban military; tightens travel restrictions on U.S. tourism to Cuba; and reaffirms the U.S. statutory embargo of Cuba.</w:t>
            </w:r>
            <w:r>
              <w:rPr>
                <w:rFonts w:asciiTheme="minorHAnsi" w:hAnsiTheme="minorHAnsi" w:cs="Arial"/>
                <w:sz w:val="22"/>
                <w:szCs w:val="22"/>
                <w:shd w:val="clear" w:color="auto" w:fill="FFFFFF"/>
              </w:rPr>
              <w:t xml:space="preserve">  Changes will not be effective until the Treasury issues new regulations.</w:t>
            </w:r>
          </w:p>
        </w:tc>
      </w:tr>
      <w:tr w:rsidR="00957814" w:rsidRPr="00967605" w:rsidTr="000C6F62">
        <w:tc>
          <w:tcPr>
            <w:tcW w:w="2283" w:type="dxa"/>
          </w:tcPr>
          <w:p w:rsidR="00957814" w:rsidRDefault="009C467C" w:rsidP="00413996">
            <w:hyperlink r:id="rId25" w:history="1">
              <w:r w:rsidR="00FF3D8B" w:rsidRPr="00FF3D8B">
                <w:rPr>
                  <w:rStyle w:val="Hyperlink"/>
                </w:rPr>
                <w:t>FTC’s update to COPPA Compliance</w:t>
              </w:r>
            </w:hyperlink>
          </w:p>
        </w:tc>
        <w:tc>
          <w:tcPr>
            <w:tcW w:w="10875" w:type="dxa"/>
          </w:tcPr>
          <w:p w:rsidR="00957814" w:rsidRDefault="00FF3D8B" w:rsidP="00CC43EC">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The FTC updated their guidance regarding complying with the Children’s Online Privacy Protection Act.  </w:t>
            </w:r>
          </w:p>
        </w:tc>
      </w:tr>
      <w:tr w:rsidR="00FF3D8B" w:rsidRPr="00967605" w:rsidTr="000C6F62">
        <w:tc>
          <w:tcPr>
            <w:tcW w:w="2283" w:type="dxa"/>
          </w:tcPr>
          <w:p w:rsidR="00FF3D8B" w:rsidRDefault="00F8598C" w:rsidP="00413996">
            <w:r>
              <w:t>Updates to credit reporting</w:t>
            </w:r>
          </w:p>
        </w:tc>
        <w:tc>
          <w:tcPr>
            <w:tcW w:w="10875" w:type="dxa"/>
          </w:tcPr>
          <w:p w:rsidR="00FF3D8B" w:rsidRDefault="00F8598C" w:rsidP="00F8598C">
            <w:pPr>
              <w:pStyle w:val="NormalWeb"/>
              <w:spacing w:after="0"/>
              <w:rPr>
                <w:rFonts w:asciiTheme="minorHAnsi" w:hAnsiTheme="minorHAnsi" w:cs="Arial"/>
                <w:sz w:val="22"/>
                <w:szCs w:val="22"/>
                <w:shd w:val="clear" w:color="auto" w:fill="FFFFFF"/>
              </w:rPr>
            </w:pPr>
            <w:r w:rsidRPr="00F8598C">
              <w:rPr>
                <w:rFonts w:asciiTheme="minorHAnsi" w:hAnsiTheme="minorHAnsi" w:cs="Arial"/>
                <w:sz w:val="22"/>
                <w:szCs w:val="22"/>
                <w:shd w:val="clear" w:color="auto" w:fill="FFFFFF"/>
              </w:rPr>
              <w:t>Medical debts will</w:t>
            </w:r>
            <w:r>
              <w:rPr>
                <w:rFonts w:asciiTheme="minorHAnsi" w:hAnsiTheme="minorHAnsi" w:cs="Arial"/>
                <w:sz w:val="22"/>
                <w:szCs w:val="22"/>
                <w:shd w:val="clear" w:color="auto" w:fill="FFFFFF"/>
              </w:rPr>
              <w:t xml:space="preserve"> </w:t>
            </w:r>
            <w:r w:rsidRPr="00F8598C">
              <w:rPr>
                <w:rFonts w:asciiTheme="minorHAnsi" w:hAnsiTheme="minorHAnsi" w:cs="Arial"/>
                <w:sz w:val="22"/>
                <w:szCs w:val="22"/>
                <w:shd w:val="clear" w:color="auto" w:fill="FFFFFF"/>
              </w:rPr>
              <w:t xml:space="preserve">not be reported until after 180-day "waiting period" to allow insurance payments to be applied. The CRAs will also remove from credit reports previously reported medical collections that have been </w:t>
            </w:r>
            <w:r>
              <w:rPr>
                <w:rFonts w:asciiTheme="minorHAnsi" w:hAnsiTheme="minorHAnsi" w:cs="Arial"/>
                <w:sz w:val="22"/>
                <w:szCs w:val="22"/>
                <w:shd w:val="clear" w:color="auto" w:fill="FFFFFF"/>
              </w:rPr>
              <w:t xml:space="preserve">or are being paid by insurance.  </w:t>
            </w:r>
            <w:r w:rsidRPr="00F8598C">
              <w:rPr>
                <w:rFonts w:asciiTheme="minorHAnsi" w:hAnsiTheme="minorHAnsi" w:cs="Arial"/>
                <w:sz w:val="22"/>
                <w:szCs w:val="22"/>
                <w:shd w:val="clear" w:color="auto" w:fill="FFFFFF"/>
              </w:rPr>
              <w:t>Data furnishers will be prohibited from reporting authorized users without a date of birth and the CRAs will reject data that does not comply with this requirement.</w:t>
            </w:r>
            <w:r>
              <w:rPr>
                <w:rFonts w:asciiTheme="minorHAnsi" w:hAnsiTheme="minorHAnsi" w:cs="Arial"/>
                <w:sz w:val="22"/>
                <w:szCs w:val="22"/>
                <w:shd w:val="clear" w:color="auto" w:fill="FFFFFF"/>
              </w:rPr>
              <w:t xml:space="preserve">  </w:t>
            </w:r>
            <w:r w:rsidRPr="00F8598C">
              <w:rPr>
                <w:rFonts w:asciiTheme="minorHAnsi" w:hAnsiTheme="minorHAnsi" w:cs="Arial"/>
                <w:sz w:val="22"/>
                <w:szCs w:val="22"/>
                <w:shd w:val="clear" w:color="auto" w:fill="FFFFFF"/>
              </w:rPr>
              <w:t>Data furnishers will be required to report a delete for accounts that are being paid or were paid in full through medical insurance.</w:t>
            </w:r>
            <w:r>
              <w:rPr>
                <w:rFonts w:asciiTheme="minorHAnsi" w:hAnsiTheme="minorHAnsi" w:cs="Arial"/>
                <w:sz w:val="22"/>
                <w:szCs w:val="22"/>
                <w:shd w:val="clear" w:color="auto" w:fill="FFFFFF"/>
              </w:rPr>
              <w:t xml:space="preserve">  </w:t>
            </w:r>
            <w:r w:rsidRPr="00F8598C">
              <w:rPr>
                <w:rFonts w:asciiTheme="minorHAnsi" w:hAnsiTheme="minorHAnsi" w:cs="Arial"/>
                <w:sz w:val="22"/>
                <w:szCs w:val="22"/>
                <w:shd w:val="clear" w:color="auto" w:fill="FFFFFF"/>
              </w:rPr>
              <w:t>The CRAs will eliminate the reporting of debts that did not arise from a contract or agreement by the consumer to pay, such as traffic tickets or fines.</w:t>
            </w:r>
          </w:p>
        </w:tc>
      </w:tr>
      <w:tr w:rsidR="00FF3D8B" w:rsidRPr="00967605" w:rsidTr="000C6F62">
        <w:tc>
          <w:tcPr>
            <w:tcW w:w="2283" w:type="dxa"/>
          </w:tcPr>
          <w:p w:rsidR="00FF3D8B" w:rsidRDefault="009C467C" w:rsidP="00413996">
            <w:hyperlink r:id="rId26" w:history="1">
              <w:r w:rsidR="000209E6" w:rsidRPr="000209E6">
                <w:rPr>
                  <w:rStyle w:val="Hyperlink"/>
                </w:rPr>
                <w:t>Interpretive Letter I-17-02</w:t>
              </w:r>
            </w:hyperlink>
          </w:p>
        </w:tc>
        <w:tc>
          <w:tcPr>
            <w:tcW w:w="10875" w:type="dxa"/>
          </w:tcPr>
          <w:p w:rsidR="00FF3D8B" w:rsidRDefault="000209E6" w:rsidP="00CC43EC">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The DCU released an Interpretive Letter outlining the requirements for state credit unions to keep and maintain Interest on Real Estate Trust Accounts.</w:t>
            </w:r>
          </w:p>
        </w:tc>
      </w:tr>
      <w:tr w:rsidR="00FF3D8B" w:rsidRPr="00967605" w:rsidTr="000C6F62">
        <w:tc>
          <w:tcPr>
            <w:tcW w:w="2283" w:type="dxa"/>
          </w:tcPr>
          <w:p w:rsidR="00FF3D8B" w:rsidRDefault="009C467C" w:rsidP="00413996">
            <w:hyperlink r:id="rId27" w:history="1">
              <w:r w:rsidR="005908B4" w:rsidRPr="005908B4">
                <w:rPr>
                  <w:rStyle w:val="Hyperlink"/>
                </w:rPr>
                <w:t>Prepaid Rule – small entity compliance guide</w:t>
              </w:r>
            </w:hyperlink>
          </w:p>
        </w:tc>
        <w:tc>
          <w:tcPr>
            <w:tcW w:w="10875" w:type="dxa"/>
          </w:tcPr>
          <w:p w:rsidR="00FF3D8B" w:rsidRDefault="005908B4" w:rsidP="00CC43EC">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The CFPB updated its compliance guide for the Prepaid Rule, which is effective April 1, 2018.  </w:t>
            </w:r>
          </w:p>
        </w:tc>
      </w:tr>
      <w:tr w:rsidR="00FF3D8B" w:rsidRPr="00967605" w:rsidTr="000C6F62">
        <w:tc>
          <w:tcPr>
            <w:tcW w:w="2283" w:type="dxa"/>
          </w:tcPr>
          <w:p w:rsidR="00FF3D8B" w:rsidRDefault="009C467C" w:rsidP="00413996">
            <w:hyperlink r:id="rId28" w:history="1">
              <w:r w:rsidR="008577CC" w:rsidRPr="00570D75">
                <w:rPr>
                  <w:rStyle w:val="Hyperlink"/>
                </w:rPr>
                <w:t>OCC Supplement to Third-Party Oversight Guidance</w:t>
              </w:r>
            </w:hyperlink>
          </w:p>
        </w:tc>
        <w:tc>
          <w:tcPr>
            <w:tcW w:w="10875" w:type="dxa"/>
          </w:tcPr>
          <w:p w:rsidR="00FF3D8B" w:rsidRDefault="008577CC" w:rsidP="00CC43EC">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T</w:t>
            </w:r>
            <w:r w:rsidRPr="008577CC">
              <w:rPr>
                <w:rFonts w:asciiTheme="minorHAnsi" w:hAnsiTheme="minorHAnsi" w:cs="Arial"/>
                <w:sz w:val="22"/>
                <w:szCs w:val="22"/>
                <w:shd w:val="clear" w:color="auto" w:fill="FFFFFF"/>
              </w:rPr>
              <w:t>he Office of the Comptroller of the Currency (OCC) is issuing frequently asked questions (FAQ) to supplement OCC Bulletin 2013-29, “Third-Party Relationships: Risk Management Guidance,” issued October 30, 2013.</w:t>
            </w:r>
            <w:r>
              <w:rPr>
                <w:rFonts w:asciiTheme="minorHAnsi" w:hAnsiTheme="minorHAnsi" w:cs="Arial"/>
                <w:sz w:val="22"/>
                <w:szCs w:val="22"/>
                <w:shd w:val="clear" w:color="auto" w:fill="FFFFFF"/>
              </w:rPr>
              <w:t xml:space="preserve">  The</w:t>
            </w:r>
            <w:r w:rsidR="00570D75">
              <w:rPr>
                <w:rFonts w:asciiTheme="minorHAnsi" w:hAnsiTheme="minorHAnsi" w:cs="Arial"/>
                <w:sz w:val="22"/>
                <w:szCs w:val="22"/>
                <w:shd w:val="clear" w:color="auto" w:fill="FFFFFF"/>
              </w:rPr>
              <w:t xml:space="preserve"> bulletin</w:t>
            </w:r>
            <w:r>
              <w:rPr>
                <w:rFonts w:asciiTheme="minorHAnsi" w:hAnsiTheme="minorHAnsi" w:cs="Arial"/>
                <w:sz w:val="22"/>
                <w:szCs w:val="22"/>
                <w:shd w:val="clear" w:color="auto" w:fill="FFFFFF"/>
              </w:rPr>
              <w:t xml:space="preserve"> </w:t>
            </w:r>
            <w:r w:rsidR="00570D75">
              <w:rPr>
                <w:rFonts w:asciiTheme="minorHAnsi" w:hAnsiTheme="minorHAnsi" w:cs="Arial"/>
                <w:sz w:val="22"/>
                <w:szCs w:val="22"/>
                <w:shd w:val="clear" w:color="auto" w:fill="FFFFFF"/>
              </w:rPr>
              <w:t>answers 14 frequently asked questions.</w:t>
            </w:r>
          </w:p>
        </w:tc>
      </w:tr>
      <w:tr w:rsidR="00FF3D8B" w:rsidRPr="00967605" w:rsidTr="000C6F62">
        <w:tc>
          <w:tcPr>
            <w:tcW w:w="2283" w:type="dxa"/>
          </w:tcPr>
          <w:p w:rsidR="00FF3D8B" w:rsidRDefault="009C467C" w:rsidP="00413996">
            <w:hyperlink r:id="rId29" w:history="1">
              <w:r w:rsidR="00A807C0" w:rsidRPr="00BE0258">
                <w:rPr>
                  <w:rStyle w:val="Hyperlink"/>
                </w:rPr>
                <w:t>MBL FAQs</w:t>
              </w:r>
            </w:hyperlink>
          </w:p>
        </w:tc>
        <w:tc>
          <w:tcPr>
            <w:tcW w:w="10875" w:type="dxa"/>
          </w:tcPr>
          <w:p w:rsidR="00FF3D8B" w:rsidRDefault="00BE0258" w:rsidP="00CC43EC">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The NCUA released a FAQ resource regarding Member Business Lending rules.  State chartered credit unions should follow their own state requirements.  </w:t>
            </w:r>
          </w:p>
        </w:tc>
      </w:tr>
      <w:tr w:rsidR="00FF3D8B" w:rsidRPr="00967605" w:rsidTr="000C6F62">
        <w:tc>
          <w:tcPr>
            <w:tcW w:w="2283" w:type="dxa"/>
          </w:tcPr>
          <w:p w:rsidR="00FF3D8B" w:rsidRDefault="009C467C" w:rsidP="00413996">
            <w:hyperlink r:id="rId30" w:history="1">
              <w:r w:rsidR="00BE0258" w:rsidRPr="00BE0258">
                <w:rPr>
                  <w:rStyle w:val="Hyperlink"/>
                </w:rPr>
                <w:t>Updated FFIEC Cybersecurity Assessment Tool</w:t>
              </w:r>
            </w:hyperlink>
          </w:p>
        </w:tc>
        <w:tc>
          <w:tcPr>
            <w:tcW w:w="10875" w:type="dxa"/>
          </w:tcPr>
          <w:p w:rsidR="00FF3D8B" w:rsidRDefault="00BE0258" w:rsidP="00CC43EC">
            <w:pPr>
              <w:pStyle w:val="NormalWeb"/>
              <w:spacing w:after="0"/>
              <w:rPr>
                <w:rFonts w:asciiTheme="minorHAnsi" w:hAnsiTheme="minorHAnsi" w:cs="Arial"/>
                <w:sz w:val="22"/>
                <w:szCs w:val="22"/>
                <w:shd w:val="clear" w:color="auto" w:fill="FFFFFF"/>
              </w:rPr>
            </w:pPr>
            <w:r w:rsidRPr="00BE0258">
              <w:rPr>
                <w:rFonts w:asciiTheme="minorHAnsi" w:hAnsiTheme="minorHAnsi" w:cs="Arial"/>
                <w:sz w:val="22"/>
                <w:szCs w:val="22"/>
                <w:shd w:val="clear" w:color="auto" w:fill="FFFFFF"/>
              </w:rPr>
              <w:t>The Federal Financial Institutions Examination Council (FFIEC) has updated the Cybersecurity Assessment Tool to reflect changes to the FFIEC IT Examination Handbook.   The assessment updates reflect changes to the FFIEC's Information Security and Management booklets.  Additional response options included in the assessment now allow a credit union's management to include supplementary or complementary behaviors, practices and processes that represent current practices of the credit union in supporting its cybersecurity activity assessment.</w:t>
            </w:r>
          </w:p>
        </w:tc>
      </w:tr>
      <w:tr w:rsidR="00FF3D8B" w:rsidRPr="00967605" w:rsidTr="000C6F62">
        <w:tc>
          <w:tcPr>
            <w:tcW w:w="2283" w:type="dxa"/>
          </w:tcPr>
          <w:p w:rsidR="00FF3D8B" w:rsidRDefault="009C467C" w:rsidP="00413996">
            <w:hyperlink r:id="rId31" w:history="1">
              <w:r w:rsidR="00015DF3" w:rsidRPr="00015DF3">
                <w:rPr>
                  <w:rStyle w:val="Hyperlink"/>
                </w:rPr>
                <w:t>NCUA Legal Opinion Letter – Federal Credit Union’s Authority to Issue and Sell Securities</w:t>
              </w:r>
            </w:hyperlink>
          </w:p>
        </w:tc>
        <w:tc>
          <w:tcPr>
            <w:tcW w:w="10875" w:type="dxa"/>
          </w:tcPr>
          <w:p w:rsidR="00FF3D8B" w:rsidRDefault="00015DF3" w:rsidP="00015DF3">
            <w:pPr>
              <w:pStyle w:val="NormalWeb"/>
              <w:spacing w:after="0"/>
              <w:rPr>
                <w:rFonts w:asciiTheme="minorHAnsi" w:hAnsiTheme="minorHAnsi" w:cs="Arial"/>
                <w:sz w:val="22"/>
                <w:szCs w:val="22"/>
                <w:shd w:val="clear" w:color="auto" w:fill="FFFFFF"/>
              </w:rPr>
            </w:pPr>
            <w:r w:rsidRPr="00015DF3">
              <w:rPr>
                <w:rFonts w:asciiTheme="minorHAnsi" w:hAnsiTheme="minorHAnsi" w:cs="Arial"/>
                <w:sz w:val="22"/>
                <w:szCs w:val="22"/>
                <w:shd w:val="clear" w:color="auto" w:fill="FFFFFF"/>
              </w:rPr>
              <w:t xml:space="preserve">NCUA opined that a federal credit union can issue and sell securities </w:t>
            </w:r>
            <w:proofErr w:type="gramStart"/>
            <w:r w:rsidRPr="00015DF3">
              <w:rPr>
                <w:rFonts w:asciiTheme="minorHAnsi" w:hAnsiTheme="minorHAnsi" w:cs="Arial"/>
                <w:sz w:val="22"/>
                <w:szCs w:val="22"/>
                <w:shd w:val="clear" w:color="auto" w:fill="FFFFFF"/>
              </w:rPr>
              <w:t>as long as</w:t>
            </w:r>
            <w:proofErr w:type="gramEnd"/>
            <w:r w:rsidRPr="00015DF3">
              <w:rPr>
                <w:rFonts w:asciiTheme="minorHAnsi" w:hAnsiTheme="minorHAnsi" w:cs="Arial"/>
                <w:sz w:val="22"/>
                <w:szCs w:val="22"/>
                <w:shd w:val="clear" w:color="auto" w:fill="FFFFFF"/>
              </w:rPr>
              <w:t xml:space="preserve"> it meets the three-pronged test detailed in 721.2 of NCUA's regulations that covers items considered incidental powers even though the activity is not considered preapproved u</w:t>
            </w:r>
            <w:r>
              <w:rPr>
                <w:rFonts w:asciiTheme="minorHAnsi" w:hAnsiTheme="minorHAnsi" w:cs="Arial"/>
                <w:sz w:val="22"/>
                <w:szCs w:val="22"/>
                <w:shd w:val="clear" w:color="auto" w:fill="FFFFFF"/>
              </w:rPr>
              <w:t xml:space="preserve">nder 721.3.  </w:t>
            </w:r>
            <w:r w:rsidRPr="00015DF3">
              <w:rPr>
                <w:rFonts w:asciiTheme="minorHAnsi" w:hAnsiTheme="minorHAnsi" w:cs="Arial"/>
                <w:sz w:val="22"/>
                <w:szCs w:val="22"/>
                <w:shd w:val="clear" w:color="auto" w:fill="FFFFFF"/>
              </w:rPr>
              <w:t>The requirements for an activity to be considered an incidental power not expressly authorized as such, are met if the activity: (a) Is convenient or useful in carrying out the mission or business of credit unions consistent with the Federal Credit Union Act;</w:t>
            </w:r>
            <w:r>
              <w:rPr>
                <w:rFonts w:asciiTheme="minorHAnsi" w:hAnsiTheme="minorHAnsi" w:cs="Arial"/>
                <w:sz w:val="22"/>
                <w:szCs w:val="22"/>
                <w:shd w:val="clear" w:color="auto" w:fill="FFFFFF"/>
              </w:rPr>
              <w:t xml:space="preserve"> </w:t>
            </w:r>
            <w:r w:rsidRPr="00015DF3">
              <w:rPr>
                <w:rFonts w:asciiTheme="minorHAnsi" w:hAnsiTheme="minorHAnsi" w:cs="Arial"/>
                <w:sz w:val="22"/>
                <w:szCs w:val="22"/>
                <w:shd w:val="clear" w:color="auto" w:fill="FFFFFF"/>
              </w:rPr>
              <w:t>(b) Is the functional equivalent or logical outgrowth of activities that are part of the mission or business of credit unions; and</w:t>
            </w:r>
            <w:r>
              <w:rPr>
                <w:rFonts w:asciiTheme="minorHAnsi" w:hAnsiTheme="minorHAnsi" w:cs="Arial"/>
                <w:sz w:val="22"/>
                <w:szCs w:val="22"/>
                <w:shd w:val="clear" w:color="auto" w:fill="FFFFFF"/>
              </w:rPr>
              <w:t xml:space="preserve"> </w:t>
            </w:r>
            <w:r w:rsidRPr="00015DF3">
              <w:rPr>
                <w:rFonts w:asciiTheme="minorHAnsi" w:hAnsiTheme="minorHAnsi" w:cs="Arial"/>
                <w:sz w:val="22"/>
                <w:szCs w:val="22"/>
                <w:shd w:val="clear" w:color="auto" w:fill="FFFFFF"/>
              </w:rPr>
              <w:t>(c) Involves risks similar in nature to those already assumed as part of the business of credit unions.</w:t>
            </w:r>
          </w:p>
        </w:tc>
      </w:tr>
      <w:tr w:rsidR="00140848" w:rsidRPr="00967605" w:rsidTr="000C6F62">
        <w:tc>
          <w:tcPr>
            <w:tcW w:w="2283" w:type="dxa"/>
          </w:tcPr>
          <w:p w:rsidR="00140848" w:rsidRDefault="009C467C" w:rsidP="00413996">
            <w:hyperlink r:id="rId32" w:history="1">
              <w:r w:rsidR="00140848" w:rsidRPr="00140848">
                <w:rPr>
                  <w:rStyle w:val="Hyperlink"/>
                </w:rPr>
                <w:t>Cybersecurity 101 – A Resource Guide for Bank Executives</w:t>
              </w:r>
            </w:hyperlink>
          </w:p>
        </w:tc>
        <w:tc>
          <w:tcPr>
            <w:tcW w:w="10875" w:type="dxa"/>
          </w:tcPr>
          <w:p w:rsidR="00140848" w:rsidRPr="00015DF3" w:rsidRDefault="00140848" w:rsidP="00015DF3">
            <w:pPr>
              <w:pStyle w:val="NormalWeb"/>
              <w:spacing w:after="0"/>
              <w:rPr>
                <w:rFonts w:asciiTheme="minorHAnsi" w:hAnsiTheme="minorHAnsi" w:cs="Arial"/>
                <w:sz w:val="22"/>
                <w:szCs w:val="22"/>
                <w:shd w:val="clear" w:color="auto" w:fill="FFFFFF"/>
              </w:rPr>
            </w:pPr>
            <w:r w:rsidRPr="00140848">
              <w:rPr>
                <w:rFonts w:asciiTheme="minorHAnsi" w:hAnsiTheme="minorHAnsi" w:cs="Arial"/>
                <w:sz w:val="22"/>
                <w:szCs w:val="22"/>
                <w:shd w:val="clear" w:color="auto" w:fill="FFFFFF"/>
              </w:rPr>
              <w:t>State bank regulators, jointly with the U.S. Sec</w:t>
            </w:r>
            <w:r>
              <w:rPr>
                <w:rFonts w:asciiTheme="minorHAnsi" w:hAnsiTheme="minorHAnsi" w:cs="Arial"/>
                <w:sz w:val="22"/>
                <w:szCs w:val="22"/>
                <w:shd w:val="clear" w:color="auto" w:fill="FFFFFF"/>
              </w:rPr>
              <w:t xml:space="preserve">ret Service, released </w:t>
            </w:r>
            <w:r w:rsidRPr="00140848">
              <w:rPr>
                <w:rFonts w:asciiTheme="minorHAnsi" w:hAnsiTheme="minorHAnsi" w:cs="Arial"/>
                <w:sz w:val="22"/>
                <w:szCs w:val="22"/>
                <w:shd w:val="clear" w:color="auto" w:fill="FFFFFF"/>
              </w:rPr>
              <w:t xml:space="preserve">banker best practices for managing risks related to certain cyber threats. </w:t>
            </w:r>
          </w:p>
        </w:tc>
      </w:tr>
      <w:tr w:rsidR="00FC1B53" w:rsidRPr="00967605" w:rsidTr="000C6F62">
        <w:tc>
          <w:tcPr>
            <w:tcW w:w="2283" w:type="dxa"/>
          </w:tcPr>
          <w:p w:rsidR="00FC1B53" w:rsidRDefault="009C467C" w:rsidP="00413996">
            <w:hyperlink r:id="rId33" w:history="1">
              <w:r w:rsidR="00FC1B53" w:rsidRPr="00FC1B53">
                <w:rPr>
                  <w:rStyle w:val="Hyperlink"/>
                </w:rPr>
                <w:t>Implementation of Servicing Rule Changes</w:t>
              </w:r>
            </w:hyperlink>
          </w:p>
        </w:tc>
        <w:tc>
          <w:tcPr>
            <w:tcW w:w="10875" w:type="dxa"/>
          </w:tcPr>
          <w:p w:rsidR="00FC1B53" w:rsidRPr="00140848" w:rsidRDefault="00FC1B53" w:rsidP="00015DF3">
            <w:pPr>
              <w:pStyle w:val="NormalWeb"/>
              <w:spacing w:after="0"/>
              <w:rPr>
                <w:rFonts w:asciiTheme="minorHAnsi" w:hAnsiTheme="minorHAnsi" w:cs="Arial"/>
                <w:sz w:val="22"/>
                <w:szCs w:val="22"/>
                <w:shd w:val="clear" w:color="auto" w:fill="FFFFFF"/>
              </w:rPr>
            </w:pPr>
            <w:r w:rsidRPr="00FC1B53">
              <w:rPr>
                <w:rFonts w:asciiTheme="minorHAnsi" w:hAnsiTheme="minorHAnsi" w:cs="Arial"/>
                <w:sz w:val="22"/>
                <w:szCs w:val="22"/>
                <w:shd w:val="clear" w:color="auto" w:fill="FFFFFF"/>
              </w:rPr>
              <w:t>The CFPB published policy guid</w:t>
            </w:r>
            <w:r>
              <w:rPr>
                <w:rFonts w:asciiTheme="minorHAnsi" w:hAnsiTheme="minorHAnsi" w:cs="Arial"/>
                <w:sz w:val="22"/>
                <w:szCs w:val="22"/>
                <w:shd w:val="clear" w:color="auto" w:fill="FFFFFF"/>
              </w:rPr>
              <w:t>ance</w:t>
            </w:r>
            <w:r w:rsidRPr="00FC1B53">
              <w:rPr>
                <w:rFonts w:asciiTheme="minorHAnsi" w:hAnsiTheme="minorHAnsi" w:cs="Arial"/>
                <w:sz w:val="22"/>
                <w:szCs w:val="22"/>
                <w:shd w:val="clear" w:color="auto" w:fill="FFFFFF"/>
              </w:rPr>
              <w:t xml:space="preserve"> concerning early compliance with the Bureau's 2016 amendments to the Servicing Rules under Regulations X and Z. Responding to industry concerns about mid-week effective dates (both the October 19, 2017, and April 19, 2018, effective dates of the amendments fall on a Thursday), the Bureau's guidance says the agency won't </w:t>
            </w:r>
            <w:proofErr w:type="gramStart"/>
            <w:r w:rsidRPr="00FC1B53">
              <w:rPr>
                <w:rFonts w:asciiTheme="minorHAnsi" w:hAnsiTheme="minorHAnsi" w:cs="Arial"/>
                <w:sz w:val="22"/>
                <w:szCs w:val="22"/>
                <w:shd w:val="clear" w:color="auto" w:fill="FFFFFF"/>
              </w:rPr>
              <w:t>take action</w:t>
            </w:r>
            <w:proofErr w:type="gramEnd"/>
            <w:r w:rsidRPr="00FC1B53">
              <w:rPr>
                <w:rFonts w:asciiTheme="minorHAnsi" w:hAnsiTheme="minorHAnsi" w:cs="Arial"/>
                <w:sz w:val="22"/>
                <w:szCs w:val="22"/>
                <w:shd w:val="clear" w:color="auto" w:fill="FFFFFF"/>
              </w:rPr>
              <w:t xml:space="preserve"> for violations of existing Regulation X or Regulation Z resulting from compliance with the amendments up to three days early. That will allow servicers to update their systems over the weekend prior to the effective dates, rather than mid-week.</w:t>
            </w:r>
          </w:p>
        </w:tc>
      </w:tr>
      <w:tr w:rsidR="005A2665" w:rsidRPr="00967605" w:rsidTr="000C6F62">
        <w:tc>
          <w:tcPr>
            <w:tcW w:w="2283" w:type="dxa"/>
          </w:tcPr>
          <w:p w:rsidR="005A2665" w:rsidRDefault="005A2665" w:rsidP="00413996">
            <w:hyperlink r:id="rId34" w:history="1">
              <w:r w:rsidRPr="005A2665">
                <w:rPr>
                  <w:rStyle w:val="Hyperlink"/>
                </w:rPr>
                <w:t>Appraiser Shortages</w:t>
              </w:r>
            </w:hyperlink>
          </w:p>
        </w:tc>
        <w:tc>
          <w:tcPr>
            <w:tcW w:w="10875" w:type="dxa"/>
          </w:tcPr>
          <w:p w:rsidR="005A2665" w:rsidRPr="00FC1B53" w:rsidRDefault="00433916" w:rsidP="005A2665">
            <w:pPr>
              <w:pStyle w:val="NormalWeb"/>
              <w:rPr>
                <w:rFonts w:asciiTheme="minorHAnsi" w:hAnsiTheme="minorHAnsi" w:cs="Arial"/>
                <w:sz w:val="22"/>
                <w:szCs w:val="22"/>
                <w:shd w:val="clear" w:color="auto" w:fill="FFFFFF"/>
              </w:rPr>
            </w:pPr>
            <w:r w:rsidRPr="00433916">
              <w:rPr>
                <w:rFonts w:asciiTheme="minorHAnsi" w:hAnsiTheme="minorHAnsi" w:cs="Arial"/>
                <w:sz w:val="22"/>
                <w:szCs w:val="22"/>
                <w:shd w:val="clear" w:color="auto" w:fill="FFFFFF"/>
              </w:rPr>
              <w:t>The Advisory explains a credit union’s options in the event a certified or licensed appraiser is not available. In certain situations, the FIRREA permits credit unions to use appraisers who have obtained a temporary practice permit or a temporary waiver instead of a state certificate or license. The Advisory explains both the permit and the waiver.</w:t>
            </w:r>
            <w:bookmarkStart w:id="0" w:name="_GoBack"/>
            <w:bookmarkEnd w:id="0"/>
          </w:p>
        </w:tc>
      </w:tr>
    </w:tbl>
    <w:p w:rsidR="006A2918" w:rsidRDefault="006A2918" w:rsidP="00D1188B"/>
    <w:tbl>
      <w:tblPr>
        <w:tblStyle w:val="TableGrid"/>
        <w:tblW w:w="13078" w:type="dxa"/>
        <w:tblLook w:val="04A0" w:firstRow="1" w:lastRow="0" w:firstColumn="1" w:lastColumn="0" w:noHBand="0" w:noVBand="1"/>
      </w:tblPr>
      <w:tblGrid>
        <w:gridCol w:w="2172"/>
        <w:gridCol w:w="6545"/>
        <w:gridCol w:w="4361"/>
      </w:tblGrid>
      <w:tr w:rsidR="00F517EF" w:rsidTr="00F517EF">
        <w:trPr>
          <w:trHeight w:val="236"/>
        </w:trPr>
        <w:tc>
          <w:tcPr>
            <w:tcW w:w="13078" w:type="dxa"/>
            <w:gridSpan w:val="3"/>
            <w:shd w:val="clear" w:color="auto" w:fill="4F81BD" w:themeFill="accent1"/>
          </w:tcPr>
          <w:p w:rsidR="00F517EF" w:rsidRDefault="00F517EF" w:rsidP="006A2918">
            <w:pPr>
              <w:keepLines/>
              <w:jc w:val="center"/>
            </w:pPr>
            <w:r w:rsidRPr="003F6BB7">
              <w:rPr>
                <w:color w:val="FFFFFF" w:themeColor="background1"/>
              </w:rPr>
              <w:t>Oregon</w:t>
            </w:r>
          </w:p>
        </w:tc>
      </w:tr>
      <w:tr w:rsidR="00DB5E19" w:rsidTr="006A2918">
        <w:trPr>
          <w:trHeight w:val="944"/>
        </w:trPr>
        <w:tc>
          <w:tcPr>
            <w:tcW w:w="2172" w:type="dxa"/>
          </w:tcPr>
          <w:p w:rsidR="00DB5E19" w:rsidRDefault="009C467C" w:rsidP="006A2918">
            <w:pPr>
              <w:keepLines/>
            </w:pPr>
            <w:hyperlink r:id="rId35" w:history="1">
              <w:r w:rsidR="00DB5E19" w:rsidRPr="00DB5E19">
                <w:rPr>
                  <w:rStyle w:val="Hyperlink"/>
                </w:rPr>
                <w:t>HB 2</w:t>
              </w:r>
              <w:r w:rsidR="00DB5E19" w:rsidRPr="00DB5E19">
                <w:rPr>
                  <w:rStyle w:val="Hyperlink"/>
                </w:rPr>
                <w:t>5</w:t>
              </w:r>
              <w:r w:rsidR="00DB5E19" w:rsidRPr="00DB5E19">
                <w:rPr>
                  <w:rStyle w:val="Hyperlink"/>
                </w:rPr>
                <w:t>81</w:t>
              </w:r>
            </w:hyperlink>
          </w:p>
        </w:tc>
        <w:tc>
          <w:tcPr>
            <w:tcW w:w="6545" w:type="dxa"/>
          </w:tcPr>
          <w:p w:rsidR="00DB5E19" w:rsidRPr="006A2918" w:rsidRDefault="00DB5E19" w:rsidP="006A2918">
            <w:pPr>
              <w:keepLines/>
            </w:pPr>
            <w:r>
              <w:t>W</w:t>
            </w:r>
            <w:r w:rsidRPr="00DB5E19">
              <w:t>ould require a person that possesses or has access to account information to report breach of security to the financial institution that issued financial access device.  Person includes:  an individual, a private or public corporation, partnership, cooperative, association, estate, limited liability company, organization or other entity.</w:t>
            </w:r>
          </w:p>
        </w:tc>
        <w:tc>
          <w:tcPr>
            <w:tcW w:w="4361" w:type="dxa"/>
          </w:tcPr>
          <w:p w:rsidR="00C56584" w:rsidRDefault="00C56584" w:rsidP="006A2918">
            <w:pPr>
              <w:keepLines/>
            </w:pPr>
            <w:r>
              <w:t>Public hearing held (3/27)</w:t>
            </w:r>
          </w:p>
        </w:tc>
      </w:tr>
      <w:tr w:rsidR="006A2918" w:rsidTr="006A2918">
        <w:trPr>
          <w:trHeight w:val="944"/>
        </w:trPr>
        <w:tc>
          <w:tcPr>
            <w:tcW w:w="2172" w:type="dxa"/>
          </w:tcPr>
          <w:p w:rsidR="006A2918" w:rsidRDefault="009C467C" w:rsidP="006A2918">
            <w:pPr>
              <w:keepLines/>
            </w:pPr>
            <w:hyperlink r:id="rId36" w:history="1">
              <w:r w:rsidR="006A2918" w:rsidRPr="006A2918">
                <w:rPr>
                  <w:rStyle w:val="Hyperlink"/>
                </w:rPr>
                <w:t>HB 2161</w:t>
              </w:r>
            </w:hyperlink>
          </w:p>
        </w:tc>
        <w:tc>
          <w:tcPr>
            <w:tcW w:w="6545" w:type="dxa"/>
          </w:tcPr>
          <w:p w:rsidR="006A2918" w:rsidRPr="000014AF" w:rsidRDefault="006A2918" w:rsidP="006A2918">
            <w:pPr>
              <w:keepLines/>
            </w:pPr>
            <w:r w:rsidRPr="006A2918">
              <w:t>Included in the Bill are a provision allowing the expulsion of a member that creates undue risk of loss, the elimination of the requirement that the credit union’s board of directors meets 10 times a year, and changes the date for exercise by state credit unions of powers available to federal credit unions without director approval to January 1, 2017, from January 1, 2013.</w:t>
            </w:r>
          </w:p>
        </w:tc>
        <w:tc>
          <w:tcPr>
            <w:tcW w:w="4361" w:type="dxa"/>
          </w:tcPr>
          <w:p w:rsidR="006A2918" w:rsidRPr="00562BB0" w:rsidRDefault="0044667C" w:rsidP="006A2918">
            <w:pPr>
              <w:keepLines/>
              <w:rPr>
                <w:b/>
              </w:rPr>
            </w:pPr>
            <w:r>
              <w:rPr>
                <w:b/>
              </w:rPr>
              <w:t>Enacted</w:t>
            </w:r>
            <w:r w:rsidR="00562BB0" w:rsidRPr="00562BB0">
              <w:rPr>
                <w:b/>
              </w:rPr>
              <w:t xml:space="preserve"> – Effective 01/01/2018</w:t>
            </w:r>
          </w:p>
        </w:tc>
      </w:tr>
      <w:tr w:rsidR="00F517EF" w:rsidTr="006A2918">
        <w:trPr>
          <w:trHeight w:val="944"/>
        </w:trPr>
        <w:tc>
          <w:tcPr>
            <w:tcW w:w="2172" w:type="dxa"/>
          </w:tcPr>
          <w:p w:rsidR="00F517EF" w:rsidRDefault="009C467C" w:rsidP="006A2918">
            <w:pPr>
              <w:keepLines/>
            </w:pPr>
            <w:hyperlink r:id="rId37" w:history="1">
              <w:r w:rsidR="00F517EF" w:rsidRPr="000014AF">
                <w:rPr>
                  <w:rStyle w:val="Hyperlink"/>
                </w:rPr>
                <w:t>HB 2359</w:t>
              </w:r>
            </w:hyperlink>
          </w:p>
        </w:tc>
        <w:tc>
          <w:tcPr>
            <w:tcW w:w="6545" w:type="dxa"/>
          </w:tcPr>
          <w:p w:rsidR="00F517EF" w:rsidRDefault="00F517EF" w:rsidP="006A2918">
            <w:pPr>
              <w:keepLines/>
            </w:pPr>
            <w:r w:rsidRPr="000014AF">
              <w:t>Removes requirement for beneficiary in trust deed to send, and Attorney General to receive, copy of notice that beneficiary has denied grantor's eligibility for foreclosure avoidance measure.</w:t>
            </w:r>
          </w:p>
        </w:tc>
        <w:tc>
          <w:tcPr>
            <w:tcW w:w="4361" w:type="dxa"/>
          </w:tcPr>
          <w:p w:rsidR="00C56584" w:rsidRPr="0044667C" w:rsidRDefault="0044667C" w:rsidP="006A2918">
            <w:pPr>
              <w:keepLines/>
              <w:rPr>
                <w:b/>
              </w:rPr>
            </w:pPr>
            <w:r w:rsidRPr="0044667C">
              <w:rPr>
                <w:b/>
              </w:rPr>
              <w:t>Enacted</w:t>
            </w:r>
          </w:p>
        </w:tc>
      </w:tr>
      <w:tr w:rsidR="00F517EF" w:rsidTr="006A2918">
        <w:trPr>
          <w:trHeight w:val="236"/>
        </w:trPr>
        <w:tc>
          <w:tcPr>
            <w:tcW w:w="2172" w:type="dxa"/>
          </w:tcPr>
          <w:p w:rsidR="00F517EF" w:rsidRDefault="009C467C" w:rsidP="006A2918">
            <w:pPr>
              <w:keepLines/>
            </w:pPr>
            <w:hyperlink r:id="rId38" w:history="1">
              <w:r w:rsidR="00F517EF" w:rsidRPr="000014AF">
                <w:rPr>
                  <w:rStyle w:val="Hyperlink"/>
                </w:rPr>
                <w:t>HB 2624</w:t>
              </w:r>
            </w:hyperlink>
          </w:p>
        </w:tc>
        <w:tc>
          <w:tcPr>
            <w:tcW w:w="6545" w:type="dxa"/>
          </w:tcPr>
          <w:p w:rsidR="00F517EF" w:rsidRDefault="00F517EF" w:rsidP="006A2918">
            <w:pPr>
              <w:keepLines/>
            </w:pPr>
            <w:r w:rsidRPr="000014AF">
              <w:t>Exempts out-of-state banks, extranational institutions and foreign associations from requirement to file notice before dealing in notes secured by mortgages or trust deeds, if authorized to conduct banking business in this state by certificate of Department of Consumer and Business Services.</w:t>
            </w:r>
          </w:p>
        </w:tc>
        <w:tc>
          <w:tcPr>
            <w:tcW w:w="4361" w:type="dxa"/>
          </w:tcPr>
          <w:p w:rsidR="00C56584" w:rsidRPr="0044667C" w:rsidRDefault="0044667C" w:rsidP="006A2918">
            <w:pPr>
              <w:keepLines/>
              <w:rPr>
                <w:b/>
              </w:rPr>
            </w:pPr>
            <w:r w:rsidRPr="0044667C">
              <w:rPr>
                <w:b/>
              </w:rPr>
              <w:t>Senate signed, House Speaker signed</w:t>
            </w:r>
          </w:p>
        </w:tc>
      </w:tr>
      <w:tr w:rsidR="00F517EF" w:rsidTr="006A2918">
        <w:trPr>
          <w:trHeight w:val="242"/>
        </w:trPr>
        <w:tc>
          <w:tcPr>
            <w:tcW w:w="2172" w:type="dxa"/>
          </w:tcPr>
          <w:p w:rsidR="00F517EF" w:rsidRDefault="009C467C" w:rsidP="006A2918">
            <w:pPr>
              <w:keepLines/>
            </w:pPr>
            <w:hyperlink r:id="rId39" w:history="1">
              <w:r w:rsidR="00F517EF" w:rsidRPr="000014AF">
                <w:rPr>
                  <w:rStyle w:val="Hyperlink"/>
                </w:rPr>
                <w:t>HB 26</w:t>
              </w:r>
              <w:r w:rsidR="00F517EF" w:rsidRPr="000014AF">
                <w:rPr>
                  <w:rStyle w:val="Hyperlink"/>
                </w:rPr>
                <w:t>2</w:t>
              </w:r>
              <w:r w:rsidR="00F517EF" w:rsidRPr="000014AF">
                <w:rPr>
                  <w:rStyle w:val="Hyperlink"/>
                </w:rPr>
                <w:t>2</w:t>
              </w:r>
            </w:hyperlink>
          </w:p>
        </w:tc>
        <w:tc>
          <w:tcPr>
            <w:tcW w:w="6545" w:type="dxa"/>
          </w:tcPr>
          <w:p w:rsidR="00F517EF" w:rsidRDefault="00F517EF" w:rsidP="006A2918">
            <w:pPr>
              <w:keepLines/>
            </w:pPr>
            <w:r w:rsidRPr="000014AF">
              <w:t>Authorizes financial institution to refuse certain financial transactions when financial institution reasonably believes financial exploitation of vulnerable person may have occurred, may have been attempted or is being attempted.</w:t>
            </w:r>
          </w:p>
        </w:tc>
        <w:tc>
          <w:tcPr>
            <w:tcW w:w="4361" w:type="dxa"/>
          </w:tcPr>
          <w:p w:rsidR="005958A6" w:rsidRDefault="00B67699" w:rsidP="006A2918">
            <w:pPr>
              <w:keepLines/>
            </w:pPr>
            <w:r>
              <w:rPr>
                <w:b/>
              </w:rPr>
              <w:t>Enacted – Effective 06/14/2017</w:t>
            </w:r>
          </w:p>
        </w:tc>
      </w:tr>
      <w:tr w:rsidR="00F517EF" w:rsidTr="006A2918">
        <w:trPr>
          <w:trHeight w:val="236"/>
        </w:trPr>
        <w:tc>
          <w:tcPr>
            <w:tcW w:w="2172" w:type="dxa"/>
          </w:tcPr>
          <w:p w:rsidR="00F517EF" w:rsidRDefault="009C467C" w:rsidP="006A2918">
            <w:pPr>
              <w:keepLines/>
            </w:pPr>
            <w:hyperlink r:id="rId40" w:history="1">
              <w:r w:rsidR="00F517EF" w:rsidRPr="000014AF">
                <w:rPr>
                  <w:rStyle w:val="Hyperlink"/>
                </w:rPr>
                <w:t>HB 2229</w:t>
              </w:r>
            </w:hyperlink>
          </w:p>
        </w:tc>
        <w:tc>
          <w:tcPr>
            <w:tcW w:w="6545" w:type="dxa"/>
          </w:tcPr>
          <w:p w:rsidR="00F517EF" w:rsidRDefault="00F517EF" w:rsidP="006A2918">
            <w:pPr>
              <w:keepLines/>
            </w:pPr>
            <w:r w:rsidRPr="000014AF">
              <w:t>Requires school districts to offer instruction in financial literacy.</w:t>
            </w:r>
          </w:p>
        </w:tc>
        <w:tc>
          <w:tcPr>
            <w:tcW w:w="4361" w:type="dxa"/>
          </w:tcPr>
          <w:p w:rsidR="00C56584" w:rsidRPr="0044667C" w:rsidRDefault="0044667C" w:rsidP="006A2918">
            <w:pPr>
              <w:keepLines/>
              <w:rPr>
                <w:b/>
              </w:rPr>
            </w:pPr>
            <w:r w:rsidRPr="0044667C">
              <w:rPr>
                <w:b/>
              </w:rPr>
              <w:t>Enacted</w:t>
            </w:r>
          </w:p>
        </w:tc>
      </w:tr>
      <w:tr w:rsidR="00F517EF" w:rsidTr="006A2918">
        <w:trPr>
          <w:trHeight w:val="236"/>
        </w:trPr>
        <w:tc>
          <w:tcPr>
            <w:tcW w:w="2172" w:type="dxa"/>
          </w:tcPr>
          <w:p w:rsidR="00F517EF" w:rsidRDefault="009C467C" w:rsidP="006A2918">
            <w:pPr>
              <w:keepLines/>
            </w:pPr>
            <w:hyperlink r:id="rId41" w:history="1">
              <w:r w:rsidR="00F517EF" w:rsidRPr="00B90741">
                <w:rPr>
                  <w:rStyle w:val="Hyperlink"/>
                </w:rPr>
                <w:t>HB 2346</w:t>
              </w:r>
            </w:hyperlink>
          </w:p>
        </w:tc>
        <w:tc>
          <w:tcPr>
            <w:tcW w:w="6545" w:type="dxa"/>
          </w:tcPr>
          <w:p w:rsidR="00F517EF" w:rsidRDefault="00F517EF" w:rsidP="006A2918">
            <w:pPr>
              <w:keepLines/>
            </w:pPr>
            <w:r w:rsidRPr="00B90741">
              <w:t>Directs insured institution or credit union to accept declaration rather than affidavit from Department of Human Services or Oregon Health Authority to pay claim on death of depositor.</w:t>
            </w:r>
          </w:p>
        </w:tc>
        <w:tc>
          <w:tcPr>
            <w:tcW w:w="4361" w:type="dxa"/>
          </w:tcPr>
          <w:p w:rsidR="00C56584" w:rsidRPr="0044667C" w:rsidRDefault="0044667C" w:rsidP="006A2918">
            <w:pPr>
              <w:keepLines/>
              <w:rPr>
                <w:b/>
              </w:rPr>
            </w:pPr>
            <w:r w:rsidRPr="0044667C">
              <w:rPr>
                <w:b/>
              </w:rPr>
              <w:t>Enacted – Effective 01/01/2018</w:t>
            </w:r>
          </w:p>
        </w:tc>
      </w:tr>
      <w:tr w:rsidR="00B975E7" w:rsidTr="006A2918">
        <w:trPr>
          <w:trHeight w:val="236"/>
        </w:trPr>
        <w:tc>
          <w:tcPr>
            <w:tcW w:w="2172" w:type="dxa"/>
          </w:tcPr>
          <w:p w:rsidR="00B975E7" w:rsidRDefault="009C467C" w:rsidP="006A2918">
            <w:pPr>
              <w:keepLines/>
            </w:pPr>
            <w:hyperlink r:id="rId42" w:history="1">
              <w:r w:rsidR="00B975E7" w:rsidRPr="00B975E7">
                <w:rPr>
                  <w:rStyle w:val="Hyperlink"/>
                </w:rPr>
                <w:t>SB 11</w:t>
              </w:r>
              <w:r w:rsidR="00B975E7" w:rsidRPr="00B975E7">
                <w:rPr>
                  <w:rStyle w:val="Hyperlink"/>
                </w:rPr>
                <w:t>3</w:t>
              </w:r>
            </w:hyperlink>
          </w:p>
        </w:tc>
        <w:tc>
          <w:tcPr>
            <w:tcW w:w="6545" w:type="dxa"/>
          </w:tcPr>
          <w:p w:rsidR="00B975E7" w:rsidRPr="00B975E7" w:rsidRDefault="00B975E7" w:rsidP="006A2918">
            <w:pPr>
              <w:keepLines/>
            </w:pPr>
            <w:r w:rsidRPr="00B975E7">
              <w:t>Provides that person identified in gift card as providing goods or services shall transfer to Department of State Lands remaining balance of gift card that cardholder has not used within five years after date of last transaction that used gift card for purchase.</w:t>
            </w:r>
          </w:p>
        </w:tc>
        <w:tc>
          <w:tcPr>
            <w:tcW w:w="4361" w:type="dxa"/>
          </w:tcPr>
          <w:p w:rsidR="00B975E7" w:rsidRPr="0044667C" w:rsidRDefault="00C56584" w:rsidP="006A2918">
            <w:pPr>
              <w:keepLines/>
              <w:rPr>
                <w:b/>
              </w:rPr>
            </w:pPr>
            <w:r w:rsidRPr="0044667C">
              <w:rPr>
                <w:b/>
              </w:rPr>
              <w:t>Referred to General Government and Accountability (1/17)</w:t>
            </w:r>
          </w:p>
        </w:tc>
      </w:tr>
      <w:tr w:rsidR="00B975E7" w:rsidTr="006A2918">
        <w:trPr>
          <w:trHeight w:val="236"/>
        </w:trPr>
        <w:tc>
          <w:tcPr>
            <w:tcW w:w="2172" w:type="dxa"/>
          </w:tcPr>
          <w:p w:rsidR="00B975E7" w:rsidRDefault="009C467C" w:rsidP="006A2918">
            <w:pPr>
              <w:keepLines/>
            </w:pPr>
            <w:hyperlink r:id="rId43" w:history="1">
              <w:r w:rsidR="00B975E7" w:rsidRPr="00B975E7">
                <w:rPr>
                  <w:rStyle w:val="Hyperlink"/>
                </w:rPr>
                <w:t xml:space="preserve">SB </w:t>
              </w:r>
              <w:r w:rsidR="00B975E7" w:rsidRPr="00B975E7">
                <w:rPr>
                  <w:rStyle w:val="Hyperlink"/>
                </w:rPr>
                <w:t>2</w:t>
              </w:r>
              <w:r w:rsidR="00B975E7" w:rsidRPr="00B975E7">
                <w:rPr>
                  <w:rStyle w:val="Hyperlink"/>
                </w:rPr>
                <w:t>54</w:t>
              </w:r>
            </w:hyperlink>
          </w:p>
        </w:tc>
        <w:tc>
          <w:tcPr>
            <w:tcW w:w="6545" w:type="dxa"/>
          </w:tcPr>
          <w:p w:rsidR="00B975E7" w:rsidRPr="00B90741" w:rsidRDefault="00B975E7" w:rsidP="006A2918">
            <w:pPr>
              <w:keepLines/>
            </w:pPr>
            <w:r w:rsidRPr="00B975E7">
              <w:t>Requires financial institutions to participate in data match system established by Department of Revenue to identify assets held at financial institutions by delinquent debtors.</w:t>
            </w:r>
          </w:p>
        </w:tc>
        <w:tc>
          <w:tcPr>
            <w:tcW w:w="4361" w:type="dxa"/>
          </w:tcPr>
          <w:p w:rsidR="00B975E7" w:rsidRPr="0044667C" w:rsidRDefault="00B67699" w:rsidP="006A2918">
            <w:pPr>
              <w:keepLines/>
              <w:rPr>
                <w:b/>
              </w:rPr>
            </w:pPr>
            <w:r>
              <w:rPr>
                <w:b/>
              </w:rPr>
              <w:t>On Governor’s desk awaiting signing</w:t>
            </w:r>
          </w:p>
        </w:tc>
      </w:tr>
      <w:tr w:rsidR="00F517EF" w:rsidTr="00F517EF">
        <w:trPr>
          <w:trHeight w:val="236"/>
        </w:trPr>
        <w:tc>
          <w:tcPr>
            <w:tcW w:w="13078" w:type="dxa"/>
            <w:gridSpan w:val="3"/>
            <w:shd w:val="clear" w:color="auto" w:fill="4F81BD" w:themeFill="accent1"/>
          </w:tcPr>
          <w:p w:rsidR="00F517EF" w:rsidRDefault="00F517EF" w:rsidP="006A2918">
            <w:pPr>
              <w:keepLines/>
              <w:jc w:val="center"/>
            </w:pPr>
            <w:r w:rsidRPr="007F4DB2">
              <w:rPr>
                <w:color w:val="FFFFFF" w:themeColor="background1"/>
              </w:rPr>
              <w:t>Washington</w:t>
            </w:r>
          </w:p>
        </w:tc>
      </w:tr>
      <w:tr w:rsidR="00F517EF" w:rsidTr="006A2918">
        <w:trPr>
          <w:trHeight w:val="236"/>
        </w:trPr>
        <w:tc>
          <w:tcPr>
            <w:tcW w:w="2172" w:type="dxa"/>
          </w:tcPr>
          <w:p w:rsidR="00F517EF" w:rsidRDefault="009C467C" w:rsidP="006A2918">
            <w:pPr>
              <w:keepLines/>
            </w:pPr>
            <w:hyperlink r:id="rId44" w:history="1">
              <w:r w:rsidR="00F517EF" w:rsidRPr="007F4DB2">
                <w:rPr>
                  <w:rStyle w:val="Hyperlink"/>
                </w:rPr>
                <w:t>HB</w:t>
              </w:r>
              <w:r w:rsidR="00F517EF" w:rsidRPr="007F4DB2">
                <w:rPr>
                  <w:rStyle w:val="Hyperlink"/>
                </w:rPr>
                <w:t xml:space="preserve"> </w:t>
              </w:r>
              <w:r w:rsidR="00F517EF" w:rsidRPr="007F4DB2">
                <w:rPr>
                  <w:rStyle w:val="Hyperlink"/>
                </w:rPr>
                <w:t>1209</w:t>
              </w:r>
            </w:hyperlink>
          </w:p>
          <w:p w:rsidR="00F517EF" w:rsidRDefault="00F517EF" w:rsidP="006A2918">
            <w:pPr>
              <w:keepLines/>
            </w:pPr>
            <w:r>
              <w:t>SB 5396</w:t>
            </w:r>
          </w:p>
        </w:tc>
        <w:tc>
          <w:tcPr>
            <w:tcW w:w="6545" w:type="dxa"/>
          </w:tcPr>
          <w:p w:rsidR="00F517EF" w:rsidRDefault="00F517EF" w:rsidP="006A2918">
            <w:pPr>
              <w:keepLines/>
            </w:pPr>
            <w:r>
              <w:t>Allow credit unions to accept public deposits that exceed the maximum deposit insured by the NCUA share insurance fund.</w:t>
            </w:r>
          </w:p>
        </w:tc>
        <w:tc>
          <w:tcPr>
            <w:tcW w:w="4361" w:type="dxa"/>
          </w:tcPr>
          <w:p w:rsidR="00F517EF" w:rsidRPr="00B67699" w:rsidRDefault="00980B64" w:rsidP="006A2918">
            <w:pPr>
              <w:keepLines/>
              <w:rPr>
                <w:b/>
              </w:rPr>
            </w:pPr>
            <w:r w:rsidRPr="00B67699">
              <w:rPr>
                <w:b/>
              </w:rPr>
              <w:t xml:space="preserve">SHB </w:t>
            </w:r>
            <w:r w:rsidR="00F517EF" w:rsidRPr="00B67699">
              <w:rPr>
                <w:b/>
              </w:rPr>
              <w:t>Passed House</w:t>
            </w:r>
          </w:p>
          <w:p w:rsidR="00F517EF" w:rsidRDefault="00C56584" w:rsidP="006A2918">
            <w:pPr>
              <w:keepLines/>
            </w:pPr>
            <w:r w:rsidRPr="00B67699">
              <w:rPr>
                <w:b/>
              </w:rPr>
              <w:t>Reintroduced in</w:t>
            </w:r>
            <w:r w:rsidR="00B67699" w:rsidRPr="00B67699">
              <w:rPr>
                <w:b/>
              </w:rPr>
              <w:t xml:space="preserve"> 3</w:t>
            </w:r>
            <w:proofErr w:type="gramStart"/>
            <w:r w:rsidR="00B67699" w:rsidRPr="00B67699">
              <w:rPr>
                <w:b/>
                <w:vertAlign w:val="superscript"/>
              </w:rPr>
              <w:t>rd</w:t>
            </w:r>
            <w:r w:rsidR="00B67699" w:rsidRPr="00B67699">
              <w:rPr>
                <w:b/>
              </w:rPr>
              <w:t xml:space="preserve">  special</w:t>
            </w:r>
            <w:proofErr w:type="gramEnd"/>
            <w:r w:rsidR="00B67699" w:rsidRPr="00B67699">
              <w:rPr>
                <w:b/>
              </w:rPr>
              <w:t xml:space="preserve"> session (06/21)</w:t>
            </w:r>
          </w:p>
        </w:tc>
      </w:tr>
      <w:tr w:rsidR="00F517EF" w:rsidTr="006A2918">
        <w:trPr>
          <w:trHeight w:val="236"/>
        </w:trPr>
        <w:tc>
          <w:tcPr>
            <w:tcW w:w="2172" w:type="dxa"/>
          </w:tcPr>
          <w:p w:rsidR="00F517EF" w:rsidRDefault="009C467C" w:rsidP="006A2918">
            <w:pPr>
              <w:keepLines/>
            </w:pPr>
            <w:hyperlink r:id="rId45" w:history="1">
              <w:r w:rsidR="00F517EF" w:rsidRPr="007F4DB2">
                <w:rPr>
                  <w:rStyle w:val="Hyperlink"/>
                </w:rPr>
                <w:t>HB 1318</w:t>
              </w:r>
            </w:hyperlink>
          </w:p>
        </w:tc>
        <w:tc>
          <w:tcPr>
            <w:tcW w:w="6545" w:type="dxa"/>
          </w:tcPr>
          <w:p w:rsidR="00F517EF" w:rsidRPr="00980B64" w:rsidRDefault="00F517EF" w:rsidP="006A2918">
            <w:pPr>
              <w:keepLines/>
              <w:rPr>
                <w:strike/>
              </w:rPr>
            </w:pPr>
            <w:r w:rsidRPr="00980B64">
              <w:rPr>
                <w:strike/>
              </w:rPr>
              <w:t xml:space="preserve">Allow state-chartered credit unions to accept supplemental capital to build net worth.  </w:t>
            </w:r>
          </w:p>
        </w:tc>
        <w:tc>
          <w:tcPr>
            <w:tcW w:w="4361" w:type="dxa"/>
          </w:tcPr>
          <w:p w:rsidR="00F517EF" w:rsidRPr="00AE3001" w:rsidRDefault="00F517EF" w:rsidP="006A2918">
            <w:pPr>
              <w:keepLines/>
              <w:rPr>
                <w:strike/>
              </w:rPr>
            </w:pPr>
            <w:r w:rsidRPr="00AE3001">
              <w:rPr>
                <w:strike/>
              </w:rPr>
              <w:t>In House Committee</w:t>
            </w:r>
            <w:r w:rsidR="00980B64" w:rsidRPr="00AE3001">
              <w:rPr>
                <w:strike/>
              </w:rPr>
              <w:t xml:space="preserve"> </w:t>
            </w:r>
          </w:p>
        </w:tc>
      </w:tr>
      <w:tr w:rsidR="00F517EF" w:rsidTr="006A2918">
        <w:trPr>
          <w:trHeight w:val="236"/>
        </w:trPr>
        <w:tc>
          <w:tcPr>
            <w:tcW w:w="2172" w:type="dxa"/>
          </w:tcPr>
          <w:p w:rsidR="00F517EF" w:rsidRDefault="009C467C" w:rsidP="006A2918">
            <w:pPr>
              <w:keepLines/>
            </w:pPr>
            <w:hyperlink r:id="rId46" w:history="1">
              <w:r w:rsidR="00992B33" w:rsidRPr="00012AE5">
                <w:rPr>
                  <w:rStyle w:val="Hyperlink"/>
                </w:rPr>
                <w:t>SSB 5031</w:t>
              </w:r>
            </w:hyperlink>
          </w:p>
        </w:tc>
        <w:tc>
          <w:tcPr>
            <w:tcW w:w="6545" w:type="dxa"/>
          </w:tcPr>
          <w:p w:rsidR="00F517EF" w:rsidRDefault="00182997" w:rsidP="006A2918">
            <w:pPr>
              <w:keepLines/>
            </w:pPr>
            <w:r>
              <w:t>Brings virtual currency under the state’s Uniform Money Services Act</w:t>
            </w:r>
          </w:p>
        </w:tc>
        <w:tc>
          <w:tcPr>
            <w:tcW w:w="4361" w:type="dxa"/>
          </w:tcPr>
          <w:p w:rsidR="00F517EF" w:rsidRPr="00B67699" w:rsidRDefault="00182997" w:rsidP="006A2918">
            <w:pPr>
              <w:keepLines/>
              <w:rPr>
                <w:b/>
              </w:rPr>
            </w:pPr>
            <w:r w:rsidRPr="00B67699">
              <w:rPr>
                <w:b/>
              </w:rPr>
              <w:t>Enacted – Effective 7/23/17</w:t>
            </w:r>
          </w:p>
        </w:tc>
      </w:tr>
      <w:tr w:rsidR="00F517EF" w:rsidTr="006A2918">
        <w:trPr>
          <w:trHeight w:val="236"/>
        </w:trPr>
        <w:tc>
          <w:tcPr>
            <w:tcW w:w="2172" w:type="dxa"/>
          </w:tcPr>
          <w:p w:rsidR="00F517EF" w:rsidRDefault="009C467C" w:rsidP="006A2918">
            <w:pPr>
              <w:keepLines/>
            </w:pPr>
            <w:hyperlink r:id="rId47" w:history="1">
              <w:r w:rsidR="00495CD2" w:rsidRPr="00495CD2">
                <w:rPr>
                  <w:rStyle w:val="Hyperlink"/>
                </w:rPr>
                <w:t>SB 5144</w:t>
              </w:r>
            </w:hyperlink>
          </w:p>
        </w:tc>
        <w:tc>
          <w:tcPr>
            <w:tcW w:w="6545" w:type="dxa"/>
          </w:tcPr>
          <w:p w:rsidR="00F517EF" w:rsidRDefault="0035707A" w:rsidP="006A2918">
            <w:pPr>
              <w:keepLines/>
            </w:pPr>
            <w:r>
              <w:t>Updates the Washington Credit Union Act.  Corrects the use of “director” in the rule’s text, removes reference to membership shares, amends rules for special membership meetings, and adds new provisions to supervisory committee roles.</w:t>
            </w:r>
          </w:p>
        </w:tc>
        <w:tc>
          <w:tcPr>
            <w:tcW w:w="4361" w:type="dxa"/>
          </w:tcPr>
          <w:p w:rsidR="00F517EF" w:rsidRPr="00B67699" w:rsidRDefault="0035707A" w:rsidP="006A2918">
            <w:pPr>
              <w:keepLines/>
              <w:rPr>
                <w:b/>
              </w:rPr>
            </w:pPr>
            <w:r w:rsidRPr="00B67699">
              <w:rPr>
                <w:b/>
              </w:rPr>
              <w:t>Enacted – Effective 07/23/17</w:t>
            </w:r>
          </w:p>
        </w:tc>
      </w:tr>
      <w:tr w:rsidR="0035707A" w:rsidTr="006A2918">
        <w:trPr>
          <w:trHeight w:val="236"/>
        </w:trPr>
        <w:tc>
          <w:tcPr>
            <w:tcW w:w="2172" w:type="dxa"/>
          </w:tcPr>
          <w:p w:rsidR="0035707A" w:rsidRDefault="009C467C" w:rsidP="0035707A">
            <w:pPr>
              <w:keepLines/>
            </w:pPr>
            <w:hyperlink r:id="rId48" w:history="1">
              <w:r w:rsidR="0035707A" w:rsidRPr="0035707A">
                <w:rPr>
                  <w:rStyle w:val="Hyperlink"/>
                </w:rPr>
                <w:t>SB 5081</w:t>
              </w:r>
            </w:hyperlink>
          </w:p>
        </w:tc>
        <w:tc>
          <w:tcPr>
            <w:tcW w:w="6545" w:type="dxa"/>
          </w:tcPr>
          <w:p w:rsidR="0035707A" w:rsidRDefault="0035707A" w:rsidP="0035707A">
            <w:pPr>
              <w:keepLines/>
            </w:pPr>
            <w:r w:rsidRPr="00494DA3">
              <w:t xml:space="preserve">Washington State passed Substitute Senate Bill 5081, dealing with notarial acts.  The bill adopts (mostly) the Revised Uniform Law on Notarial Acts (RULONA).  Included in the bill is a provision for electronic notaries.  </w:t>
            </w:r>
          </w:p>
        </w:tc>
        <w:tc>
          <w:tcPr>
            <w:tcW w:w="4361" w:type="dxa"/>
          </w:tcPr>
          <w:p w:rsidR="0035707A" w:rsidRPr="00B67699" w:rsidRDefault="0035707A" w:rsidP="0035707A">
            <w:pPr>
              <w:keepLines/>
              <w:rPr>
                <w:b/>
              </w:rPr>
            </w:pPr>
            <w:r w:rsidRPr="00B67699">
              <w:rPr>
                <w:b/>
              </w:rPr>
              <w:t>Enacted – Effective 07/01/18</w:t>
            </w:r>
          </w:p>
        </w:tc>
      </w:tr>
      <w:tr w:rsidR="0035707A" w:rsidTr="006A2918">
        <w:trPr>
          <w:trHeight w:val="236"/>
        </w:trPr>
        <w:tc>
          <w:tcPr>
            <w:tcW w:w="2172" w:type="dxa"/>
          </w:tcPr>
          <w:p w:rsidR="0035707A" w:rsidRDefault="009C467C" w:rsidP="0035707A">
            <w:pPr>
              <w:keepLines/>
            </w:pPr>
            <w:hyperlink r:id="rId49" w:history="1">
              <w:r w:rsidR="0035707A" w:rsidRPr="0035707A">
                <w:rPr>
                  <w:rStyle w:val="Hyperlink"/>
                </w:rPr>
                <w:t>SB 5343</w:t>
              </w:r>
            </w:hyperlink>
          </w:p>
        </w:tc>
        <w:tc>
          <w:tcPr>
            <w:tcW w:w="6545" w:type="dxa"/>
          </w:tcPr>
          <w:p w:rsidR="0035707A" w:rsidRDefault="0035707A" w:rsidP="0035707A">
            <w:pPr>
              <w:keepLines/>
            </w:pPr>
            <w:r>
              <w:t>Towing companies can now use first class mail to send impound notices, rather than certified, to registered and legal owners of impounded vehicles</w:t>
            </w:r>
          </w:p>
        </w:tc>
        <w:tc>
          <w:tcPr>
            <w:tcW w:w="4361" w:type="dxa"/>
          </w:tcPr>
          <w:p w:rsidR="0035707A" w:rsidRPr="00B67699" w:rsidRDefault="0035707A" w:rsidP="0035707A">
            <w:pPr>
              <w:keepLines/>
              <w:rPr>
                <w:b/>
              </w:rPr>
            </w:pPr>
            <w:r w:rsidRPr="00B67699">
              <w:rPr>
                <w:b/>
              </w:rPr>
              <w:t>Enacted – 07/23/17</w:t>
            </w:r>
          </w:p>
        </w:tc>
      </w:tr>
      <w:tr w:rsidR="0035707A" w:rsidTr="006A2918">
        <w:trPr>
          <w:trHeight w:val="236"/>
        </w:trPr>
        <w:tc>
          <w:tcPr>
            <w:tcW w:w="2172" w:type="dxa"/>
          </w:tcPr>
          <w:p w:rsidR="0035707A" w:rsidRDefault="0035707A" w:rsidP="0035707A">
            <w:pPr>
              <w:keepLines/>
            </w:pPr>
          </w:p>
        </w:tc>
        <w:tc>
          <w:tcPr>
            <w:tcW w:w="6545" w:type="dxa"/>
          </w:tcPr>
          <w:p w:rsidR="0035707A" w:rsidRDefault="0035707A" w:rsidP="0035707A">
            <w:pPr>
              <w:keepLines/>
            </w:pPr>
          </w:p>
        </w:tc>
        <w:tc>
          <w:tcPr>
            <w:tcW w:w="4361" w:type="dxa"/>
          </w:tcPr>
          <w:p w:rsidR="0035707A" w:rsidRDefault="0035707A" w:rsidP="0035707A">
            <w:pPr>
              <w:keepLines/>
            </w:pPr>
          </w:p>
        </w:tc>
      </w:tr>
    </w:tbl>
    <w:p w:rsidR="00F517EF" w:rsidRDefault="00F517EF" w:rsidP="00D1188B"/>
    <w:p w:rsidR="003C29B7" w:rsidRPr="003C29B7" w:rsidRDefault="00013BF9" w:rsidP="00D830AA">
      <w:pPr>
        <w:rPr>
          <w:b/>
          <w:sz w:val="28"/>
          <w:szCs w:val="28"/>
        </w:rPr>
      </w:pPr>
      <w:r w:rsidRPr="00013BF9">
        <w:rPr>
          <w:b/>
          <w:sz w:val="28"/>
          <w:szCs w:val="28"/>
        </w:rPr>
        <w:t>IMPORTANT DATES</w:t>
      </w:r>
    </w:p>
    <w:p w:rsidR="00225F57" w:rsidRDefault="00B2494D" w:rsidP="00D830AA">
      <w:r w:rsidRPr="00B2494D">
        <w:rPr>
          <w:b/>
        </w:rPr>
        <w:t>Call Report due dates for 2017</w:t>
      </w:r>
      <w:r>
        <w:t xml:space="preserve">:  January 29, April 30, July 30, and October 29 (the last Sunday of the month following the quarter end).  </w:t>
      </w:r>
    </w:p>
    <w:p w:rsidR="003C29B7" w:rsidRDefault="003C29B7" w:rsidP="00D830AA">
      <w:r w:rsidRPr="003C29B7">
        <w:rPr>
          <w:b/>
        </w:rPr>
        <w:t>Military Lending Act</w:t>
      </w:r>
      <w:r>
        <w:t xml:space="preserve"> applies to credit cards:  October 3, 2017</w:t>
      </w:r>
    </w:p>
    <w:p w:rsidR="000F5081" w:rsidRDefault="00B95B4E">
      <w:pPr>
        <w:rPr>
          <w:b/>
          <w:sz w:val="28"/>
          <w:szCs w:val="28"/>
        </w:rPr>
      </w:pPr>
      <w:r w:rsidRPr="00B95B4E">
        <w:rPr>
          <w:b/>
          <w:sz w:val="28"/>
          <w:szCs w:val="28"/>
        </w:rPr>
        <w:t>COMPLIANCE MALPRACTICE AND OTHER STUFF</w:t>
      </w:r>
    </w:p>
    <w:p w:rsidR="00FF3D8B" w:rsidRDefault="00D07FA6">
      <w:r>
        <w:t xml:space="preserve">The CFPB </w:t>
      </w:r>
      <w:hyperlink r:id="rId50" w:history="1">
        <w:r w:rsidRPr="00D07FA6">
          <w:rPr>
            <w:rStyle w:val="Hyperlink"/>
          </w:rPr>
          <w:t>issued consent orders</w:t>
        </w:r>
      </w:hyperlink>
      <w:r>
        <w:t xml:space="preserve"> against Fay Servicing, and imposed a $1.15 million repayment to harmed borrowers.  Fay Servicing did not inform borrowers of foreclosure protections, did not provide required notices informing borrowers of their options to save their homes, and moved forward with foreclosure processes in violation of mortgage servicing regulations.  </w:t>
      </w:r>
    </w:p>
    <w:p w:rsidR="00D07FA6" w:rsidRDefault="00D07FA6">
      <w:r>
        <w:t xml:space="preserve">Wells Fargo (yet again) </w:t>
      </w:r>
      <w:hyperlink r:id="rId51" w:history="1">
        <w:r w:rsidRPr="00D07FA6">
          <w:rPr>
            <w:rStyle w:val="Hyperlink"/>
          </w:rPr>
          <w:t>agreed to pay $14.8M</w:t>
        </w:r>
      </w:hyperlink>
      <w:r>
        <w:t xml:space="preserve"> to resolve Telephone Consumer Protection Act claims over alleged autodialed calls.  Class members are likely to receive between $20 and $50, while counsel can request up to $4.5 million in fees and costs.  </w:t>
      </w:r>
    </w:p>
    <w:p w:rsidR="00BE0258" w:rsidRDefault="00BE0258" w:rsidP="00BE0258">
      <w:r>
        <w:lastRenderedPageBreak/>
        <w:t xml:space="preserve">Mortgage servicer hit with $1.8 million CMP - The Federal Reserve Board has </w:t>
      </w:r>
      <w:hyperlink r:id="rId52" w:history="1">
        <w:r w:rsidRPr="00BE0258">
          <w:rPr>
            <w:rStyle w:val="Hyperlink"/>
          </w:rPr>
          <w:t>announced</w:t>
        </w:r>
      </w:hyperlink>
      <w:r>
        <w:t xml:space="preserve"> the termination of an enforcement action against EverBank Financial Corp. issued in April 2011 related to residential mortgage loan servicing and foreclosure processing. The Board also announced a $1.8 million civil money penalty against the company for its mortgage servicing deficiencies related to that enforcement action.</w:t>
      </w:r>
    </w:p>
    <w:p w:rsidR="00BE0258" w:rsidRDefault="00BE0258" w:rsidP="00BE0258">
      <w:r>
        <w:t xml:space="preserve">Bureau targeting credit card promo financing - The CFPB has posted an </w:t>
      </w:r>
      <w:hyperlink r:id="rId53" w:history="1">
        <w:r w:rsidRPr="002A2AC6">
          <w:rPr>
            <w:rStyle w:val="Hyperlink"/>
          </w:rPr>
          <w:t>article</w:t>
        </w:r>
      </w:hyperlink>
      <w:r>
        <w:t xml:space="preserve"> discussing how to understand special promotional financing offers on credit cards. The article explained the difference between zero-interest and deferred-interest promotions, how deferred interest is calculated, and what to consider when getting a card with a zero-interest or deferred-interest promotion. The CFPB has also </w:t>
      </w:r>
      <w:hyperlink r:id="rId54" w:history="1">
        <w:r w:rsidRPr="002A2AC6">
          <w:rPr>
            <w:rStyle w:val="Hyperlink"/>
          </w:rPr>
          <w:t>sent letters</w:t>
        </w:r>
      </w:hyperlink>
      <w:r>
        <w:t xml:space="preserve"> to top retail credit card companies encouraging them to consider using more transparent promotions.</w:t>
      </w:r>
    </w:p>
    <w:p w:rsidR="00000F1C" w:rsidRDefault="007A1759" w:rsidP="00BE0258">
      <w:r>
        <w:t xml:space="preserve">Breach of fiduciary duty and unsafe or unsound practices by sending unsecured email leads to a </w:t>
      </w:r>
      <w:hyperlink r:id="rId55" w:history="1">
        <w:r w:rsidRPr="007A1759">
          <w:rPr>
            <w:rStyle w:val="Hyperlink"/>
          </w:rPr>
          <w:t>civil money penalty of $8,000</w:t>
        </w:r>
      </w:hyperlink>
      <w:r>
        <w:t>.</w:t>
      </w:r>
    </w:p>
    <w:p w:rsidR="00652A21" w:rsidRDefault="00704921" w:rsidP="00BE0258">
      <w:r>
        <w:t xml:space="preserve">The US Appeals Court ruled that the Federal Reserve Bank cannot block access to Fourth Corner Credit Union, but Fourth Corner can only serve supporters of marijuana legalization – not licensed cannabis or hemp business </w:t>
      </w:r>
      <w:proofErr w:type="gramStart"/>
      <w:r>
        <w:t>as long as</w:t>
      </w:r>
      <w:proofErr w:type="gramEnd"/>
      <w:r>
        <w:t xml:space="preserve"> the Controlled Substances Act is intact.  </w:t>
      </w:r>
    </w:p>
    <w:p w:rsidR="00704921" w:rsidRPr="00FF3D8B" w:rsidRDefault="00704921" w:rsidP="00BE0258">
      <w:r>
        <w:t xml:space="preserve">Washington State </w:t>
      </w:r>
      <w:hyperlink r:id="rId56" w:history="1">
        <w:r w:rsidRPr="00704921">
          <w:rPr>
            <w:rStyle w:val="Hyperlink"/>
          </w:rPr>
          <w:t>Senate Bill 5131</w:t>
        </w:r>
      </w:hyperlink>
      <w:r>
        <w:t xml:space="preserve">, effective 06/23/17, placed more restrictions on marijuana businesses.  Included are restrictions on advertising (no more sign-flippers), timing requirements between licensing and opening a business, minimum age for retail workers, and requiring the state to study the possibility of recreational home growing.  </w:t>
      </w:r>
      <w:r w:rsidR="0035707A">
        <w:t>HB 2064, effective 07/23/17, removes hemp from the Uniform Controlled Substances Act.</w:t>
      </w:r>
    </w:p>
    <w:p w:rsidR="00CA1ADD" w:rsidRDefault="00CA1ADD">
      <w:pPr>
        <w:rPr>
          <w:b/>
          <w:sz w:val="28"/>
          <w:szCs w:val="28"/>
        </w:rPr>
      </w:pPr>
      <w:r w:rsidRPr="00CA1ADD">
        <w:rPr>
          <w:b/>
          <w:sz w:val="28"/>
          <w:szCs w:val="28"/>
        </w:rPr>
        <w:t>INTERESTING READS</w:t>
      </w:r>
      <w:r w:rsidR="00023584">
        <w:rPr>
          <w:b/>
          <w:sz w:val="28"/>
          <w:szCs w:val="28"/>
        </w:rPr>
        <w:t xml:space="preserve"> (what’s on my nightstand)</w:t>
      </w:r>
    </w:p>
    <w:p w:rsidR="00023584" w:rsidRDefault="009C467C">
      <w:hyperlink r:id="rId57" w:history="1">
        <w:r w:rsidR="00242AD6" w:rsidRPr="00242AD6">
          <w:rPr>
            <w:rStyle w:val="Hyperlink"/>
          </w:rPr>
          <w:t>A Financial System That Creates Economic Opportunities – Banks and Credit Unions</w:t>
        </w:r>
      </w:hyperlink>
      <w:r w:rsidR="00242AD6">
        <w:t xml:space="preserve"> The Treasury Department’s report to the president detailing its review of financial regulations and recommendations to reform regulatory oversight of deposit institutions.  </w:t>
      </w:r>
    </w:p>
    <w:p w:rsidR="00734991" w:rsidRDefault="00734991">
      <w:r>
        <w:t xml:space="preserve">The United Nations Office on Drugs and Crime </w:t>
      </w:r>
      <w:hyperlink r:id="rId58" w:history="1">
        <w:r w:rsidRPr="00734991">
          <w:rPr>
            <w:rStyle w:val="Hyperlink"/>
          </w:rPr>
          <w:t>World Drug Report 2017</w:t>
        </w:r>
      </w:hyperlink>
      <w:r>
        <w:t>.</w:t>
      </w:r>
    </w:p>
    <w:p w:rsidR="00CA675A" w:rsidRDefault="00CA675A">
      <w:r>
        <w:t xml:space="preserve">The </w:t>
      </w:r>
      <w:proofErr w:type="spellStart"/>
      <w:r>
        <w:t>Unbanking</w:t>
      </w:r>
      <w:proofErr w:type="spellEnd"/>
      <w:r>
        <w:t xml:space="preserve"> of America – How the New Middle Class Survives</w:t>
      </w:r>
      <w:r w:rsidR="002C3090">
        <w:t xml:space="preserve">, Lisa </w:t>
      </w:r>
      <w:proofErr w:type="spellStart"/>
      <w:r w:rsidR="002C3090">
        <w:t>Servon</w:t>
      </w:r>
      <w:proofErr w:type="spellEnd"/>
      <w:r w:rsidR="002C3090">
        <w:t>.</w:t>
      </w:r>
      <w:r w:rsidR="00860655">
        <w:t xml:space="preserve">  </w:t>
      </w:r>
      <w:r w:rsidR="006002DF">
        <w:t xml:space="preserve">This discusses why Americans are leaving the banking system for alternatives, such as payday </w:t>
      </w:r>
      <w:proofErr w:type="spellStart"/>
      <w:r w:rsidR="006002DF">
        <w:t>lendors</w:t>
      </w:r>
      <w:proofErr w:type="spellEnd"/>
      <w:r w:rsidR="006002DF">
        <w:t xml:space="preserve">.  </w:t>
      </w:r>
    </w:p>
    <w:p w:rsidR="001053D2" w:rsidRDefault="009C467C">
      <w:pPr>
        <w:rPr>
          <w:rStyle w:val="Hyperlink"/>
        </w:rPr>
      </w:pPr>
      <w:hyperlink r:id="rId59" w:history="1">
        <w:r w:rsidR="001053D2" w:rsidRPr="0090200C">
          <w:rPr>
            <w:rStyle w:val="Hyperlink"/>
          </w:rPr>
          <w:t>Abacus:  Small enough to Jail</w:t>
        </w:r>
      </w:hyperlink>
      <w:r w:rsidR="0090200C">
        <w:t xml:space="preserve"> - </w:t>
      </w:r>
      <w:r w:rsidR="0090200C" w:rsidRPr="0090200C">
        <w:t xml:space="preserve">Accused of mortgage fraud by Manhattan District Attorney Cyrus R. Vance, Jr., Abacus becomes the only U.S. bank to face criminal charges in the wake of the 2008 </w:t>
      </w:r>
      <w:proofErr w:type="gramStart"/>
      <w:r w:rsidR="0090200C" w:rsidRPr="0090200C">
        <w:t>financial crisis</w:t>
      </w:r>
      <w:proofErr w:type="gramEnd"/>
      <w:r w:rsidR="0090200C" w:rsidRPr="0090200C">
        <w:t>. The indictment and subsequent trial forces the Sung family to defend themselves – and their bank’s legacy in the Chinatown community – over the course of a five-year legal battle.</w:t>
      </w:r>
    </w:p>
    <w:p w:rsidR="0052297A" w:rsidRPr="00CA1ADD" w:rsidRDefault="0052297A" w:rsidP="0052297A"/>
    <w:sectPr w:rsidR="0052297A" w:rsidRPr="00CA1ADD" w:rsidSect="00C82D91">
      <w:headerReference w:type="default" r:id="rId60"/>
      <w:footerReference w:type="default" r:id="rId6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63B" w:rsidRDefault="00E6563B" w:rsidP="009516FB">
      <w:pPr>
        <w:spacing w:after="0" w:line="240" w:lineRule="auto"/>
      </w:pPr>
      <w:r>
        <w:separator/>
      </w:r>
    </w:p>
  </w:endnote>
  <w:endnote w:type="continuationSeparator" w:id="0">
    <w:p w:rsidR="00E6563B" w:rsidRDefault="00E6563B" w:rsidP="0095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67C" w:rsidRDefault="009C467C" w:rsidP="009516FB">
    <w:pPr>
      <w:pStyle w:val="Footer"/>
      <w:jc w:val="right"/>
    </w:pPr>
    <w:r>
      <w:rPr>
        <w:noProof/>
      </w:rPr>
      <w:drawing>
        <wp:inline distT="0" distB="0" distL="0" distR="0" wp14:anchorId="7666BC11" wp14:editId="5E49D36E">
          <wp:extent cx="213360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13105"/>
                  </a:xfrm>
                  <a:prstGeom prst="rect">
                    <a:avLst/>
                  </a:prstGeom>
                  <a:noFill/>
                </pic:spPr>
              </pic:pic>
            </a:graphicData>
          </a:graphic>
        </wp:inline>
      </w:drawing>
    </w:r>
    <w:r>
      <w:t xml:space="preserve">                                                  Legislative Update 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63B" w:rsidRDefault="00E6563B" w:rsidP="009516FB">
      <w:pPr>
        <w:spacing w:after="0" w:line="240" w:lineRule="auto"/>
      </w:pPr>
      <w:r>
        <w:separator/>
      </w:r>
    </w:p>
  </w:footnote>
  <w:footnote w:type="continuationSeparator" w:id="0">
    <w:p w:rsidR="00E6563B" w:rsidRDefault="00E6563B" w:rsidP="00951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199819"/>
      <w:docPartObj>
        <w:docPartGallery w:val="Page Numbers (Top of Page)"/>
        <w:docPartUnique/>
      </w:docPartObj>
    </w:sdtPr>
    <w:sdtEndPr>
      <w:rPr>
        <w:noProof/>
      </w:rPr>
    </w:sdtEndPr>
    <w:sdtContent>
      <w:p w:rsidR="009C467C" w:rsidRDefault="009C467C">
        <w:pPr>
          <w:pStyle w:val="Header"/>
          <w:jc w:val="right"/>
        </w:pPr>
        <w:r>
          <w:fldChar w:fldCharType="begin"/>
        </w:r>
        <w:r>
          <w:instrText xml:space="preserve"> PAGE   \* MERGEFORMAT </w:instrText>
        </w:r>
        <w:r>
          <w:fldChar w:fldCharType="separate"/>
        </w:r>
        <w:r w:rsidR="00433916">
          <w:rPr>
            <w:noProof/>
          </w:rPr>
          <w:t>6</w:t>
        </w:r>
        <w:r>
          <w:rPr>
            <w:noProof/>
          </w:rPr>
          <w:fldChar w:fldCharType="end"/>
        </w:r>
      </w:p>
    </w:sdtContent>
  </w:sdt>
  <w:p w:rsidR="009C467C" w:rsidRDefault="009C4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56EF"/>
    <w:multiLevelType w:val="multilevel"/>
    <w:tmpl w:val="C3AE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20100"/>
    <w:multiLevelType w:val="hybridMultilevel"/>
    <w:tmpl w:val="F42E4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E7D9B"/>
    <w:multiLevelType w:val="hybridMultilevel"/>
    <w:tmpl w:val="58F067C4"/>
    <w:lvl w:ilvl="0" w:tplc="141CB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3CB8"/>
    <w:multiLevelType w:val="hybridMultilevel"/>
    <w:tmpl w:val="6C348528"/>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F03A7"/>
    <w:multiLevelType w:val="hybridMultilevel"/>
    <w:tmpl w:val="8A8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75FE3"/>
    <w:multiLevelType w:val="hybridMultilevel"/>
    <w:tmpl w:val="D51E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B3667"/>
    <w:multiLevelType w:val="hybridMultilevel"/>
    <w:tmpl w:val="BE043168"/>
    <w:lvl w:ilvl="0" w:tplc="8D5A2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11F3F"/>
    <w:multiLevelType w:val="hybridMultilevel"/>
    <w:tmpl w:val="100C1B8E"/>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26A89"/>
    <w:multiLevelType w:val="multilevel"/>
    <w:tmpl w:val="9316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810930"/>
    <w:multiLevelType w:val="hybridMultilevel"/>
    <w:tmpl w:val="BE984502"/>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517DE"/>
    <w:multiLevelType w:val="multilevel"/>
    <w:tmpl w:val="9A8E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F822BA"/>
    <w:multiLevelType w:val="hybridMultilevel"/>
    <w:tmpl w:val="C42A2EC0"/>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4"/>
  </w:num>
  <w:num w:numId="5">
    <w:abstractNumId w:val="8"/>
  </w:num>
  <w:num w:numId="6">
    <w:abstractNumId w:val="1"/>
  </w:num>
  <w:num w:numId="7">
    <w:abstractNumId w:val="7"/>
  </w:num>
  <w:num w:numId="8">
    <w:abstractNumId w:val="6"/>
  </w:num>
  <w:num w:numId="9">
    <w:abstractNumId w:val="11"/>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B2"/>
    <w:rsid w:val="00000F1C"/>
    <w:rsid w:val="00001E88"/>
    <w:rsid w:val="00011112"/>
    <w:rsid w:val="00011F26"/>
    <w:rsid w:val="00012AE5"/>
    <w:rsid w:val="00013BF9"/>
    <w:rsid w:val="00013FA8"/>
    <w:rsid w:val="00015DF3"/>
    <w:rsid w:val="00016A3D"/>
    <w:rsid w:val="000209E6"/>
    <w:rsid w:val="00023584"/>
    <w:rsid w:val="000315CD"/>
    <w:rsid w:val="00033069"/>
    <w:rsid w:val="00035E46"/>
    <w:rsid w:val="00036A9E"/>
    <w:rsid w:val="0004395A"/>
    <w:rsid w:val="00050E93"/>
    <w:rsid w:val="00053D69"/>
    <w:rsid w:val="0005474C"/>
    <w:rsid w:val="00062373"/>
    <w:rsid w:val="00063529"/>
    <w:rsid w:val="000704A8"/>
    <w:rsid w:val="0007572E"/>
    <w:rsid w:val="000775AE"/>
    <w:rsid w:val="000A7D77"/>
    <w:rsid w:val="000B064B"/>
    <w:rsid w:val="000C57E2"/>
    <w:rsid w:val="000C6F62"/>
    <w:rsid w:val="000D2411"/>
    <w:rsid w:val="000E0E4E"/>
    <w:rsid w:val="000E1F7A"/>
    <w:rsid w:val="000E30F3"/>
    <w:rsid w:val="000E30FB"/>
    <w:rsid w:val="000F5081"/>
    <w:rsid w:val="001053D2"/>
    <w:rsid w:val="00105532"/>
    <w:rsid w:val="00105BF0"/>
    <w:rsid w:val="00113262"/>
    <w:rsid w:val="00114BD2"/>
    <w:rsid w:val="0012584F"/>
    <w:rsid w:val="001371A1"/>
    <w:rsid w:val="00137A4B"/>
    <w:rsid w:val="00140848"/>
    <w:rsid w:val="00143775"/>
    <w:rsid w:val="00152E97"/>
    <w:rsid w:val="00154381"/>
    <w:rsid w:val="0015450F"/>
    <w:rsid w:val="00155503"/>
    <w:rsid w:val="00155BB2"/>
    <w:rsid w:val="00172B95"/>
    <w:rsid w:val="00173106"/>
    <w:rsid w:val="00174A57"/>
    <w:rsid w:val="00176A30"/>
    <w:rsid w:val="00176BAE"/>
    <w:rsid w:val="00182997"/>
    <w:rsid w:val="00186550"/>
    <w:rsid w:val="001924F5"/>
    <w:rsid w:val="0019373F"/>
    <w:rsid w:val="001B36FB"/>
    <w:rsid w:val="001B4DB6"/>
    <w:rsid w:val="001C2463"/>
    <w:rsid w:val="001C24FB"/>
    <w:rsid w:val="001F2A05"/>
    <w:rsid w:val="001F4193"/>
    <w:rsid w:val="00201A42"/>
    <w:rsid w:val="00207316"/>
    <w:rsid w:val="00215590"/>
    <w:rsid w:val="00217B65"/>
    <w:rsid w:val="0022595F"/>
    <w:rsid w:val="00225F57"/>
    <w:rsid w:val="00233F19"/>
    <w:rsid w:val="002362A2"/>
    <w:rsid w:val="00242AD6"/>
    <w:rsid w:val="00251848"/>
    <w:rsid w:val="00261F16"/>
    <w:rsid w:val="002635E0"/>
    <w:rsid w:val="00265D6B"/>
    <w:rsid w:val="00272CD7"/>
    <w:rsid w:val="00274CDA"/>
    <w:rsid w:val="00294580"/>
    <w:rsid w:val="002A2AC6"/>
    <w:rsid w:val="002B082F"/>
    <w:rsid w:val="002B38F0"/>
    <w:rsid w:val="002B4E3D"/>
    <w:rsid w:val="002B6DAC"/>
    <w:rsid w:val="002C3090"/>
    <w:rsid w:val="002C4A0B"/>
    <w:rsid w:val="002D029F"/>
    <w:rsid w:val="002E109D"/>
    <w:rsid w:val="002F3DF3"/>
    <w:rsid w:val="002F4525"/>
    <w:rsid w:val="003011AF"/>
    <w:rsid w:val="003017B9"/>
    <w:rsid w:val="003245BB"/>
    <w:rsid w:val="00336022"/>
    <w:rsid w:val="00336C3F"/>
    <w:rsid w:val="00356321"/>
    <w:rsid w:val="0035707A"/>
    <w:rsid w:val="003632A8"/>
    <w:rsid w:val="00366CE9"/>
    <w:rsid w:val="0038010D"/>
    <w:rsid w:val="00394799"/>
    <w:rsid w:val="003A1E17"/>
    <w:rsid w:val="003B117B"/>
    <w:rsid w:val="003B2BCF"/>
    <w:rsid w:val="003B5637"/>
    <w:rsid w:val="003B5E21"/>
    <w:rsid w:val="003C0D33"/>
    <w:rsid w:val="003C29B7"/>
    <w:rsid w:val="003C7920"/>
    <w:rsid w:val="003D28DF"/>
    <w:rsid w:val="003D64B3"/>
    <w:rsid w:val="003E0302"/>
    <w:rsid w:val="003E2AD1"/>
    <w:rsid w:val="003E70C6"/>
    <w:rsid w:val="003F618F"/>
    <w:rsid w:val="004070E9"/>
    <w:rsid w:val="00413996"/>
    <w:rsid w:val="00423E3C"/>
    <w:rsid w:val="0042461E"/>
    <w:rsid w:val="004331F4"/>
    <w:rsid w:val="00433916"/>
    <w:rsid w:val="00435186"/>
    <w:rsid w:val="00443C0F"/>
    <w:rsid w:val="00444FFD"/>
    <w:rsid w:val="00445E61"/>
    <w:rsid w:val="0044667C"/>
    <w:rsid w:val="00451B34"/>
    <w:rsid w:val="00451DB7"/>
    <w:rsid w:val="00453DA0"/>
    <w:rsid w:val="0045483F"/>
    <w:rsid w:val="004629C9"/>
    <w:rsid w:val="004670B2"/>
    <w:rsid w:val="004801A3"/>
    <w:rsid w:val="0048047D"/>
    <w:rsid w:val="00494DA3"/>
    <w:rsid w:val="00495CD2"/>
    <w:rsid w:val="004B0CF2"/>
    <w:rsid w:val="004B1A12"/>
    <w:rsid w:val="004B4C3C"/>
    <w:rsid w:val="004B7407"/>
    <w:rsid w:val="004C2F31"/>
    <w:rsid w:val="004C4FD5"/>
    <w:rsid w:val="004D5C8D"/>
    <w:rsid w:val="004E02B2"/>
    <w:rsid w:val="004E6E06"/>
    <w:rsid w:val="004F6A93"/>
    <w:rsid w:val="004F7B91"/>
    <w:rsid w:val="00502F4F"/>
    <w:rsid w:val="00503A84"/>
    <w:rsid w:val="00513A6B"/>
    <w:rsid w:val="005208A0"/>
    <w:rsid w:val="0052297A"/>
    <w:rsid w:val="00525941"/>
    <w:rsid w:val="00526961"/>
    <w:rsid w:val="005465C5"/>
    <w:rsid w:val="00562BB0"/>
    <w:rsid w:val="00570D75"/>
    <w:rsid w:val="0057444C"/>
    <w:rsid w:val="005908B4"/>
    <w:rsid w:val="005958A6"/>
    <w:rsid w:val="005A164C"/>
    <w:rsid w:val="005A2665"/>
    <w:rsid w:val="005A3D38"/>
    <w:rsid w:val="005B2EEA"/>
    <w:rsid w:val="005C072A"/>
    <w:rsid w:val="005D4EA4"/>
    <w:rsid w:val="005F4AC9"/>
    <w:rsid w:val="005F4D1E"/>
    <w:rsid w:val="005F6C21"/>
    <w:rsid w:val="006002DF"/>
    <w:rsid w:val="00603473"/>
    <w:rsid w:val="00605BAB"/>
    <w:rsid w:val="00615725"/>
    <w:rsid w:val="006264E4"/>
    <w:rsid w:val="00630088"/>
    <w:rsid w:val="00630275"/>
    <w:rsid w:val="00630DEC"/>
    <w:rsid w:val="00632317"/>
    <w:rsid w:val="00634CA3"/>
    <w:rsid w:val="00643760"/>
    <w:rsid w:val="00644E58"/>
    <w:rsid w:val="006468AC"/>
    <w:rsid w:val="00651041"/>
    <w:rsid w:val="00652A21"/>
    <w:rsid w:val="006564E8"/>
    <w:rsid w:val="00664528"/>
    <w:rsid w:val="00667C6B"/>
    <w:rsid w:val="00671FE4"/>
    <w:rsid w:val="00672066"/>
    <w:rsid w:val="006908CC"/>
    <w:rsid w:val="00692031"/>
    <w:rsid w:val="00693EF2"/>
    <w:rsid w:val="00696DF2"/>
    <w:rsid w:val="006A0683"/>
    <w:rsid w:val="006A2918"/>
    <w:rsid w:val="006A7271"/>
    <w:rsid w:val="006B3DE0"/>
    <w:rsid w:val="006B67AC"/>
    <w:rsid w:val="006B6D03"/>
    <w:rsid w:val="006C0A16"/>
    <w:rsid w:val="006C3107"/>
    <w:rsid w:val="006D0C47"/>
    <w:rsid w:val="006D2DF4"/>
    <w:rsid w:val="006D4256"/>
    <w:rsid w:val="006E10DB"/>
    <w:rsid w:val="00704921"/>
    <w:rsid w:val="0070652F"/>
    <w:rsid w:val="007075BA"/>
    <w:rsid w:val="00710285"/>
    <w:rsid w:val="00711B89"/>
    <w:rsid w:val="007122A3"/>
    <w:rsid w:val="00714311"/>
    <w:rsid w:val="00734132"/>
    <w:rsid w:val="00734991"/>
    <w:rsid w:val="0075139C"/>
    <w:rsid w:val="00753D11"/>
    <w:rsid w:val="0076011C"/>
    <w:rsid w:val="00766BE3"/>
    <w:rsid w:val="007761FF"/>
    <w:rsid w:val="00780EB2"/>
    <w:rsid w:val="0079268D"/>
    <w:rsid w:val="007A1759"/>
    <w:rsid w:val="007A49A6"/>
    <w:rsid w:val="007A4A48"/>
    <w:rsid w:val="007A78BD"/>
    <w:rsid w:val="007B2E65"/>
    <w:rsid w:val="007C7A17"/>
    <w:rsid w:val="007E2F0F"/>
    <w:rsid w:val="007E5A30"/>
    <w:rsid w:val="007F1644"/>
    <w:rsid w:val="007F444F"/>
    <w:rsid w:val="007F4EEC"/>
    <w:rsid w:val="0080103B"/>
    <w:rsid w:val="00804BDF"/>
    <w:rsid w:val="00806853"/>
    <w:rsid w:val="008111CC"/>
    <w:rsid w:val="0081242C"/>
    <w:rsid w:val="0082731E"/>
    <w:rsid w:val="00847BAF"/>
    <w:rsid w:val="00854729"/>
    <w:rsid w:val="008577CC"/>
    <w:rsid w:val="00857D6B"/>
    <w:rsid w:val="00860655"/>
    <w:rsid w:val="0086329F"/>
    <w:rsid w:val="00863C31"/>
    <w:rsid w:val="00864656"/>
    <w:rsid w:val="00870B44"/>
    <w:rsid w:val="0087131F"/>
    <w:rsid w:val="00871704"/>
    <w:rsid w:val="00873B59"/>
    <w:rsid w:val="008756E8"/>
    <w:rsid w:val="00881E57"/>
    <w:rsid w:val="008821F9"/>
    <w:rsid w:val="00886D2A"/>
    <w:rsid w:val="00891FE6"/>
    <w:rsid w:val="00897886"/>
    <w:rsid w:val="008A14C6"/>
    <w:rsid w:val="008B03E6"/>
    <w:rsid w:val="008B5C5C"/>
    <w:rsid w:val="008C7F59"/>
    <w:rsid w:val="008D2F1A"/>
    <w:rsid w:val="008D78E1"/>
    <w:rsid w:val="008E19EA"/>
    <w:rsid w:val="008E28CB"/>
    <w:rsid w:val="008E296D"/>
    <w:rsid w:val="008E711C"/>
    <w:rsid w:val="0090200C"/>
    <w:rsid w:val="0091703E"/>
    <w:rsid w:val="00920A21"/>
    <w:rsid w:val="00924FE5"/>
    <w:rsid w:val="00925885"/>
    <w:rsid w:val="009322F0"/>
    <w:rsid w:val="00933EB4"/>
    <w:rsid w:val="009478D9"/>
    <w:rsid w:val="009516FB"/>
    <w:rsid w:val="00957814"/>
    <w:rsid w:val="009711D2"/>
    <w:rsid w:val="00980B64"/>
    <w:rsid w:val="00980C97"/>
    <w:rsid w:val="009837E4"/>
    <w:rsid w:val="00983CC0"/>
    <w:rsid w:val="00990BAD"/>
    <w:rsid w:val="00992B33"/>
    <w:rsid w:val="009937AD"/>
    <w:rsid w:val="0099690E"/>
    <w:rsid w:val="0099695C"/>
    <w:rsid w:val="009A5E71"/>
    <w:rsid w:val="009A716D"/>
    <w:rsid w:val="009A7FE9"/>
    <w:rsid w:val="009B25D5"/>
    <w:rsid w:val="009C467C"/>
    <w:rsid w:val="009C4E16"/>
    <w:rsid w:val="009C5026"/>
    <w:rsid w:val="009D0E2F"/>
    <w:rsid w:val="009E1BCF"/>
    <w:rsid w:val="009F00D3"/>
    <w:rsid w:val="00A03475"/>
    <w:rsid w:val="00A07BED"/>
    <w:rsid w:val="00A10A42"/>
    <w:rsid w:val="00A13CB2"/>
    <w:rsid w:val="00A367AD"/>
    <w:rsid w:val="00A371E4"/>
    <w:rsid w:val="00A54A69"/>
    <w:rsid w:val="00A731C9"/>
    <w:rsid w:val="00A770CD"/>
    <w:rsid w:val="00A775BA"/>
    <w:rsid w:val="00A807C0"/>
    <w:rsid w:val="00A809DC"/>
    <w:rsid w:val="00A81DA4"/>
    <w:rsid w:val="00A82B32"/>
    <w:rsid w:val="00A84002"/>
    <w:rsid w:val="00A8721F"/>
    <w:rsid w:val="00A96B19"/>
    <w:rsid w:val="00A97370"/>
    <w:rsid w:val="00AB217B"/>
    <w:rsid w:val="00AC1EC4"/>
    <w:rsid w:val="00AC28C6"/>
    <w:rsid w:val="00AC6A22"/>
    <w:rsid w:val="00AD2397"/>
    <w:rsid w:val="00AD5A87"/>
    <w:rsid w:val="00AD5AFA"/>
    <w:rsid w:val="00AD6AF4"/>
    <w:rsid w:val="00AE3001"/>
    <w:rsid w:val="00AE3AA2"/>
    <w:rsid w:val="00AF302A"/>
    <w:rsid w:val="00AF6446"/>
    <w:rsid w:val="00B0179F"/>
    <w:rsid w:val="00B01B28"/>
    <w:rsid w:val="00B11197"/>
    <w:rsid w:val="00B1548D"/>
    <w:rsid w:val="00B2494D"/>
    <w:rsid w:val="00B34E2E"/>
    <w:rsid w:val="00B355D2"/>
    <w:rsid w:val="00B35870"/>
    <w:rsid w:val="00B440A3"/>
    <w:rsid w:val="00B52D08"/>
    <w:rsid w:val="00B532FB"/>
    <w:rsid w:val="00B623E9"/>
    <w:rsid w:val="00B66E90"/>
    <w:rsid w:val="00B67699"/>
    <w:rsid w:val="00B71928"/>
    <w:rsid w:val="00B819BC"/>
    <w:rsid w:val="00B95B4E"/>
    <w:rsid w:val="00B975E7"/>
    <w:rsid w:val="00BA5444"/>
    <w:rsid w:val="00BB1B58"/>
    <w:rsid w:val="00BB6B54"/>
    <w:rsid w:val="00BD479B"/>
    <w:rsid w:val="00BD5ADC"/>
    <w:rsid w:val="00BE0258"/>
    <w:rsid w:val="00BF0D7B"/>
    <w:rsid w:val="00C012BB"/>
    <w:rsid w:val="00C02DF2"/>
    <w:rsid w:val="00C0564A"/>
    <w:rsid w:val="00C12A79"/>
    <w:rsid w:val="00C15E43"/>
    <w:rsid w:val="00C1691D"/>
    <w:rsid w:val="00C40D53"/>
    <w:rsid w:val="00C417A3"/>
    <w:rsid w:val="00C5176C"/>
    <w:rsid w:val="00C52445"/>
    <w:rsid w:val="00C53A07"/>
    <w:rsid w:val="00C56584"/>
    <w:rsid w:val="00C6554D"/>
    <w:rsid w:val="00C6732A"/>
    <w:rsid w:val="00C721DB"/>
    <w:rsid w:val="00C77CEE"/>
    <w:rsid w:val="00C82D91"/>
    <w:rsid w:val="00C83BE8"/>
    <w:rsid w:val="00C950B3"/>
    <w:rsid w:val="00CA0305"/>
    <w:rsid w:val="00CA1ADD"/>
    <w:rsid w:val="00CA2872"/>
    <w:rsid w:val="00CA675A"/>
    <w:rsid w:val="00CC43EC"/>
    <w:rsid w:val="00CC60FF"/>
    <w:rsid w:val="00CD1AC9"/>
    <w:rsid w:val="00CE1A73"/>
    <w:rsid w:val="00CE26B8"/>
    <w:rsid w:val="00CE778F"/>
    <w:rsid w:val="00CF22C2"/>
    <w:rsid w:val="00CF661F"/>
    <w:rsid w:val="00D07FA6"/>
    <w:rsid w:val="00D1188B"/>
    <w:rsid w:val="00D121D2"/>
    <w:rsid w:val="00D12C32"/>
    <w:rsid w:val="00D25AD2"/>
    <w:rsid w:val="00D3009A"/>
    <w:rsid w:val="00D311E0"/>
    <w:rsid w:val="00D342C8"/>
    <w:rsid w:val="00D42123"/>
    <w:rsid w:val="00D4416D"/>
    <w:rsid w:val="00D55BF3"/>
    <w:rsid w:val="00D608FB"/>
    <w:rsid w:val="00D64643"/>
    <w:rsid w:val="00D830AA"/>
    <w:rsid w:val="00D84E99"/>
    <w:rsid w:val="00DB2422"/>
    <w:rsid w:val="00DB5E19"/>
    <w:rsid w:val="00DC082C"/>
    <w:rsid w:val="00DC094A"/>
    <w:rsid w:val="00DC5948"/>
    <w:rsid w:val="00DC71AF"/>
    <w:rsid w:val="00DD0103"/>
    <w:rsid w:val="00DD09C7"/>
    <w:rsid w:val="00DD1CB4"/>
    <w:rsid w:val="00DD3953"/>
    <w:rsid w:val="00DD3ABC"/>
    <w:rsid w:val="00DF0747"/>
    <w:rsid w:val="00DF483C"/>
    <w:rsid w:val="00E02279"/>
    <w:rsid w:val="00E06462"/>
    <w:rsid w:val="00E11D08"/>
    <w:rsid w:val="00E13DD7"/>
    <w:rsid w:val="00E31E6D"/>
    <w:rsid w:val="00E60521"/>
    <w:rsid w:val="00E60F45"/>
    <w:rsid w:val="00E6563B"/>
    <w:rsid w:val="00E7520E"/>
    <w:rsid w:val="00E80D83"/>
    <w:rsid w:val="00E81DCB"/>
    <w:rsid w:val="00E84648"/>
    <w:rsid w:val="00E95C60"/>
    <w:rsid w:val="00EA7A23"/>
    <w:rsid w:val="00EC5CB5"/>
    <w:rsid w:val="00ED793F"/>
    <w:rsid w:val="00EF1DD3"/>
    <w:rsid w:val="00EF618B"/>
    <w:rsid w:val="00F026C4"/>
    <w:rsid w:val="00F02739"/>
    <w:rsid w:val="00F04513"/>
    <w:rsid w:val="00F059BB"/>
    <w:rsid w:val="00F067FC"/>
    <w:rsid w:val="00F2538A"/>
    <w:rsid w:val="00F26D48"/>
    <w:rsid w:val="00F43456"/>
    <w:rsid w:val="00F443AC"/>
    <w:rsid w:val="00F507E6"/>
    <w:rsid w:val="00F517EF"/>
    <w:rsid w:val="00F55547"/>
    <w:rsid w:val="00F628F8"/>
    <w:rsid w:val="00F6705E"/>
    <w:rsid w:val="00F7041B"/>
    <w:rsid w:val="00F76BD4"/>
    <w:rsid w:val="00F8598C"/>
    <w:rsid w:val="00F90EDC"/>
    <w:rsid w:val="00F964D3"/>
    <w:rsid w:val="00F970CC"/>
    <w:rsid w:val="00FA16B3"/>
    <w:rsid w:val="00FA7669"/>
    <w:rsid w:val="00FC005D"/>
    <w:rsid w:val="00FC1B53"/>
    <w:rsid w:val="00FC4C42"/>
    <w:rsid w:val="00FC60FC"/>
    <w:rsid w:val="00FD3FF3"/>
    <w:rsid w:val="00FD690C"/>
    <w:rsid w:val="00FF3D8B"/>
    <w:rsid w:val="00FF7353"/>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4E677"/>
  <w15:docId w15:val="{BA0B5738-5880-4AB4-A1B5-C2C633F0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0B2"/>
    <w:rPr>
      <w:rFonts w:eastAsiaTheme="minorEastAsia"/>
    </w:rPr>
  </w:style>
  <w:style w:type="paragraph" w:styleId="Heading2">
    <w:name w:val="heading 2"/>
    <w:basedOn w:val="Normal"/>
    <w:next w:val="Normal"/>
    <w:link w:val="Heading2Char"/>
    <w:uiPriority w:val="9"/>
    <w:semiHidden/>
    <w:unhideWhenUsed/>
    <w:qFormat/>
    <w:rsid w:val="000330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7E5A30"/>
    <w:pPr>
      <w:spacing w:before="75" w:after="75"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B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0B2"/>
    <w:rPr>
      <w:color w:val="0000FF" w:themeColor="hyperlink"/>
      <w:u w:val="single"/>
    </w:rPr>
  </w:style>
  <w:style w:type="character" w:customStyle="1" w:styleId="h31">
    <w:name w:val="h31"/>
    <w:basedOn w:val="DefaultParagraphFont"/>
    <w:rsid w:val="00DB2422"/>
    <w:rPr>
      <w:rFonts w:ascii="Arial Black" w:hAnsi="Arial Black" w:hint="default"/>
      <w:b w:val="0"/>
      <w:bCs w:val="0"/>
      <w:color w:val="000000"/>
      <w:sz w:val="24"/>
      <w:szCs w:val="24"/>
    </w:rPr>
  </w:style>
  <w:style w:type="paragraph" w:styleId="NormalWeb">
    <w:name w:val="Normal (Web)"/>
    <w:basedOn w:val="Normal"/>
    <w:uiPriority w:val="99"/>
    <w:unhideWhenUsed/>
    <w:rsid w:val="00F5554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1A12"/>
    <w:rPr>
      <w:color w:val="800080" w:themeColor="followedHyperlink"/>
      <w:u w:val="single"/>
    </w:rPr>
  </w:style>
  <w:style w:type="character" w:styleId="Strong">
    <w:name w:val="Strong"/>
    <w:basedOn w:val="DefaultParagraphFont"/>
    <w:uiPriority w:val="22"/>
    <w:qFormat/>
    <w:rsid w:val="00F02739"/>
    <w:rPr>
      <w:b/>
      <w:bCs/>
    </w:rPr>
  </w:style>
  <w:style w:type="paragraph" w:styleId="BalloonText">
    <w:name w:val="Balloon Text"/>
    <w:basedOn w:val="Normal"/>
    <w:link w:val="BalloonTextChar"/>
    <w:uiPriority w:val="99"/>
    <w:semiHidden/>
    <w:unhideWhenUsed/>
    <w:rsid w:val="00951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FB"/>
    <w:rPr>
      <w:rFonts w:ascii="Tahoma" w:eastAsiaTheme="minorEastAsia" w:hAnsi="Tahoma" w:cs="Tahoma"/>
      <w:sz w:val="16"/>
      <w:szCs w:val="16"/>
    </w:rPr>
  </w:style>
  <w:style w:type="paragraph" w:styleId="Header">
    <w:name w:val="header"/>
    <w:basedOn w:val="Normal"/>
    <w:link w:val="HeaderChar"/>
    <w:uiPriority w:val="99"/>
    <w:unhideWhenUsed/>
    <w:rsid w:val="00951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FB"/>
    <w:rPr>
      <w:rFonts w:eastAsiaTheme="minorEastAsia"/>
    </w:rPr>
  </w:style>
  <w:style w:type="paragraph" w:styleId="Footer">
    <w:name w:val="footer"/>
    <w:basedOn w:val="Normal"/>
    <w:link w:val="FooterChar"/>
    <w:uiPriority w:val="99"/>
    <w:unhideWhenUsed/>
    <w:rsid w:val="00951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FB"/>
    <w:rPr>
      <w:rFonts w:eastAsiaTheme="minorEastAsia"/>
    </w:rPr>
  </w:style>
  <w:style w:type="character" w:customStyle="1" w:styleId="volume">
    <w:name w:val="volume"/>
    <w:basedOn w:val="DefaultParagraphFont"/>
    <w:rsid w:val="00C1691D"/>
  </w:style>
  <w:style w:type="character" w:customStyle="1" w:styleId="page">
    <w:name w:val="page"/>
    <w:basedOn w:val="DefaultParagraphFont"/>
    <w:rsid w:val="00C1691D"/>
  </w:style>
  <w:style w:type="paragraph" w:styleId="ListParagraph">
    <w:name w:val="List Paragraph"/>
    <w:basedOn w:val="Normal"/>
    <w:uiPriority w:val="34"/>
    <w:qFormat/>
    <w:rsid w:val="00356321"/>
    <w:pPr>
      <w:ind w:left="720"/>
      <w:contextualSpacing/>
    </w:pPr>
  </w:style>
  <w:style w:type="character" w:styleId="CommentReference">
    <w:name w:val="annotation reference"/>
    <w:basedOn w:val="DefaultParagraphFont"/>
    <w:uiPriority w:val="99"/>
    <w:semiHidden/>
    <w:unhideWhenUsed/>
    <w:rsid w:val="00C950B3"/>
    <w:rPr>
      <w:sz w:val="16"/>
      <w:szCs w:val="16"/>
    </w:rPr>
  </w:style>
  <w:style w:type="paragraph" w:styleId="CommentText">
    <w:name w:val="annotation text"/>
    <w:basedOn w:val="Normal"/>
    <w:link w:val="CommentTextChar"/>
    <w:uiPriority w:val="99"/>
    <w:semiHidden/>
    <w:unhideWhenUsed/>
    <w:rsid w:val="00C950B3"/>
    <w:pPr>
      <w:spacing w:line="240" w:lineRule="auto"/>
    </w:pPr>
    <w:rPr>
      <w:sz w:val="20"/>
      <w:szCs w:val="20"/>
    </w:rPr>
  </w:style>
  <w:style w:type="character" w:customStyle="1" w:styleId="CommentTextChar">
    <w:name w:val="Comment Text Char"/>
    <w:basedOn w:val="DefaultParagraphFont"/>
    <w:link w:val="CommentText"/>
    <w:uiPriority w:val="99"/>
    <w:semiHidden/>
    <w:rsid w:val="00C950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50B3"/>
    <w:rPr>
      <w:b/>
      <w:bCs/>
    </w:rPr>
  </w:style>
  <w:style w:type="character" w:customStyle="1" w:styleId="CommentSubjectChar">
    <w:name w:val="Comment Subject Char"/>
    <w:basedOn w:val="CommentTextChar"/>
    <w:link w:val="CommentSubject"/>
    <w:uiPriority w:val="99"/>
    <w:semiHidden/>
    <w:rsid w:val="00C950B3"/>
    <w:rPr>
      <w:rFonts w:eastAsiaTheme="minorEastAsia"/>
      <w:b/>
      <w:bCs/>
      <w:sz w:val="20"/>
      <w:szCs w:val="20"/>
    </w:rPr>
  </w:style>
  <w:style w:type="character" w:customStyle="1" w:styleId="apple-converted-space">
    <w:name w:val="apple-converted-space"/>
    <w:basedOn w:val="DefaultParagraphFont"/>
    <w:rsid w:val="007761FF"/>
  </w:style>
  <w:style w:type="character" w:customStyle="1" w:styleId="Heading4Char">
    <w:name w:val="Heading 4 Char"/>
    <w:basedOn w:val="DefaultParagraphFont"/>
    <w:link w:val="Heading4"/>
    <w:uiPriority w:val="9"/>
    <w:rsid w:val="007E5A30"/>
    <w:rPr>
      <w:rFonts w:ascii="Times New Roman" w:eastAsia="Times New Roman" w:hAnsi="Times New Roman" w:cs="Times New Roman"/>
      <w:b/>
      <w:bCs/>
      <w:sz w:val="24"/>
      <w:szCs w:val="24"/>
    </w:rPr>
  </w:style>
  <w:style w:type="character" w:styleId="Emphasis">
    <w:name w:val="Emphasis"/>
    <w:basedOn w:val="DefaultParagraphFont"/>
    <w:uiPriority w:val="20"/>
    <w:qFormat/>
    <w:rsid w:val="008E19EA"/>
    <w:rPr>
      <w:i/>
      <w:iCs/>
    </w:rPr>
  </w:style>
  <w:style w:type="character" w:customStyle="1" w:styleId="Heading2Char">
    <w:name w:val="Heading 2 Char"/>
    <w:basedOn w:val="DefaultParagraphFont"/>
    <w:link w:val="Heading2"/>
    <w:uiPriority w:val="9"/>
    <w:semiHidden/>
    <w:rsid w:val="00033069"/>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semiHidden/>
    <w:unhideWhenUsed/>
    <w:rsid w:val="000E30FB"/>
    <w:rPr>
      <w:color w:val="2B579A"/>
      <w:shd w:val="clear" w:color="auto" w:fill="E6E6E6"/>
    </w:rPr>
  </w:style>
  <w:style w:type="character" w:styleId="UnresolvedMention">
    <w:name w:val="Unresolved Mention"/>
    <w:basedOn w:val="DefaultParagraphFont"/>
    <w:uiPriority w:val="99"/>
    <w:semiHidden/>
    <w:unhideWhenUsed/>
    <w:rsid w:val="00011F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969">
      <w:bodyDiv w:val="1"/>
      <w:marLeft w:val="0"/>
      <w:marRight w:val="0"/>
      <w:marTop w:val="0"/>
      <w:marBottom w:val="0"/>
      <w:divBdr>
        <w:top w:val="none" w:sz="0" w:space="0" w:color="auto"/>
        <w:left w:val="none" w:sz="0" w:space="0" w:color="auto"/>
        <w:bottom w:val="none" w:sz="0" w:space="0" w:color="auto"/>
        <w:right w:val="none" w:sz="0" w:space="0" w:color="auto"/>
      </w:divBdr>
      <w:divsChild>
        <w:div w:id="922839204">
          <w:marLeft w:val="0"/>
          <w:marRight w:val="0"/>
          <w:marTop w:val="0"/>
          <w:marBottom w:val="0"/>
          <w:divBdr>
            <w:top w:val="none" w:sz="0" w:space="0" w:color="auto"/>
            <w:left w:val="none" w:sz="0" w:space="0" w:color="auto"/>
            <w:bottom w:val="none" w:sz="0" w:space="0" w:color="auto"/>
            <w:right w:val="none" w:sz="0" w:space="0" w:color="auto"/>
          </w:divBdr>
          <w:divsChild>
            <w:div w:id="1075711462">
              <w:marLeft w:val="0"/>
              <w:marRight w:val="0"/>
              <w:marTop w:val="0"/>
              <w:marBottom w:val="0"/>
              <w:divBdr>
                <w:top w:val="none" w:sz="0" w:space="0" w:color="auto"/>
                <w:left w:val="none" w:sz="0" w:space="0" w:color="auto"/>
                <w:bottom w:val="none" w:sz="0" w:space="0" w:color="auto"/>
                <w:right w:val="none" w:sz="0" w:space="0" w:color="auto"/>
              </w:divBdr>
              <w:divsChild>
                <w:div w:id="921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040">
      <w:bodyDiv w:val="1"/>
      <w:marLeft w:val="0"/>
      <w:marRight w:val="0"/>
      <w:marTop w:val="0"/>
      <w:marBottom w:val="0"/>
      <w:divBdr>
        <w:top w:val="none" w:sz="0" w:space="0" w:color="auto"/>
        <w:left w:val="none" w:sz="0" w:space="0" w:color="auto"/>
        <w:bottom w:val="none" w:sz="0" w:space="0" w:color="auto"/>
        <w:right w:val="none" w:sz="0" w:space="0" w:color="auto"/>
      </w:divBdr>
    </w:div>
    <w:div w:id="1038554086">
      <w:bodyDiv w:val="1"/>
      <w:marLeft w:val="0"/>
      <w:marRight w:val="0"/>
      <w:marTop w:val="0"/>
      <w:marBottom w:val="0"/>
      <w:divBdr>
        <w:top w:val="none" w:sz="0" w:space="0" w:color="auto"/>
        <w:left w:val="none" w:sz="0" w:space="0" w:color="auto"/>
        <w:bottom w:val="none" w:sz="0" w:space="0" w:color="auto"/>
        <w:right w:val="none" w:sz="0" w:space="0" w:color="auto"/>
      </w:divBdr>
    </w:div>
    <w:div w:id="12817193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331">
          <w:marLeft w:val="0"/>
          <w:marRight w:val="0"/>
          <w:marTop w:val="0"/>
          <w:marBottom w:val="0"/>
          <w:divBdr>
            <w:top w:val="none" w:sz="0" w:space="0" w:color="auto"/>
            <w:left w:val="none" w:sz="0" w:space="0" w:color="auto"/>
            <w:bottom w:val="none" w:sz="0" w:space="0" w:color="auto"/>
            <w:right w:val="none" w:sz="0" w:space="0" w:color="auto"/>
          </w:divBdr>
          <w:divsChild>
            <w:div w:id="2032880664">
              <w:marLeft w:val="0"/>
              <w:marRight w:val="0"/>
              <w:marTop w:val="0"/>
              <w:marBottom w:val="0"/>
              <w:divBdr>
                <w:top w:val="none" w:sz="0" w:space="0" w:color="auto"/>
                <w:left w:val="none" w:sz="0" w:space="0" w:color="auto"/>
                <w:bottom w:val="none" w:sz="0" w:space="0" w:color="auto"/>
                <w:right w:val="none" w:sz="0" w:space="0" w:color="auto"/>
              </w:divBdr>
              <w:divsChild>
                <w:div w:id="178088457">
                  <w:marLeft w:val="0"/>
                  <w:marRight w:val="0"/>
                  <w:marTop w:val="0"/>
                  <w:marBottom w:val="0"/>
                  <w:divBdr>
                    <w:top w:val="none" w:sz="0" w:space="0" w:color="auto"/>
                    <w:left w:val="none" w:sz="0" w:space="0" w:color="auto"/>
                    <w:bottom w:val="none" w:sz="0" w:space="0" w:color="auto"/>
                    <w:right w:val="none" w:sz="0" w:space="0" w:color="auto"/>
                  </w:divBdr>
                  <w:divsChild>
                    <w:div w:id="606960972">
                      <w:marLeft w:val="0"/>
                      <w:marRight w:val="0"/>
                      <w:marTop w:val="0"/>
                      <w:marBottom w:val="0"/>
                      <w:divBdr>
                        <w:top w:val="none" w:sz="0" w:space="0" w:color="auto"/>
                        <w:left w:val="none" w:sz="0" w:space="0" w:color="auto"/>
                        <w:bottom w:val="none" w:sz="0" w:space="0" w:color="auto"/>
                        <w:right w:val="none" w:sz="0" w:space="0" w:color="auto"/>
                      </w:divBdr>
                      <w:divsChild>
                        <w:div w:id="1576553154">
                          <w:marLeft w:val="0"/>
                          <w:marRight w:val="0"/>
                          <w:marTop w:val="0"/>
                          <w:marBottom w:val="0"/>
                          <w:divBdr>
                            <w:top w:val="none" w:sz="0" w:space="0" w:color="auto"/>
                            <w:left w:val="none" w:sz="0" w:space="0" w:color="auto"/>
                            <w:bottom w:val="none" w:sz="0" w:space="0" w:color="auto"/>
                            <w:right w:val="none" w:sz="0" w:space="0" w:color="auto"/>
                          </w:divBdr>
                          <w:divsChild>
                            <w:div w:id="1304117915">
                              <w:marLeft w:val="0"/>
                              <w:marRight w:val="0"/>
                              <w:marTop w:val="0"/>
                              <w:marBottom w:val="0"/>
                              <w:divBdr>
                                <w:top w:val="none" w:sz="0" w:space="0" w:color="auto"/>
                                <w:left w:val="none" w:sz="0" w:space="0" w:color="auto"/>
                                <w:bottom w:val="none" w:sz="0" w:space="0" w:color="auto"/>
                                <w:right w:val="none" w:sz="0" w:space="0" w:color="auto"/>
                              </w:divBdr>
                              <w:divsChild>
                                <w:div w:id="309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423611">
      <w:bodyDiv w:val="1"/>
      <w:marLeft w:val="0"/>
      <w:marRight w:val="0"/>
      <w:marTop w:val="0"/>
      <w:marBottom w:val="0"/>
      <w:divBdr>
        <w:top w:val="none" w:sz="0" w:space="0" w:color="auto"/>
        <w:left w:val="none" w:sz="0" w:space="0" w:color="auto"/>
        <w:bottom w:val="none" w:sz="0" w:space="0" w:color="auto"/>
        <w:right w:val="none" w:sz="0" w:space="0" w:color="auto"/>
      </w:divBdr>
      <w:divsChild>
        <w:div w:id="395981390">
          <w:marLeft w:val="0"/>
          <w:marRight w:val="0"/>
          <w:marTop w:val="0"/>
          <w:marBottom w:val="0"/>
          <w:divBdr>
            <w:top w:val="none" w:sz="0" w:space="0" w:color="auto"/>
            <w:left w:val="none" w:sz="0" w:space="0" w:color="auto"/>
            <w:bottom w:val="none" w:sz="0" w:space="0" w:color="auto"/>
            <w:right w:val="none" w:sz="0" w:space="0" w:color="auto"/>
          </w:divBdr>
          <w:divsChild>
            <w:div w:id="1714187619">
              <w:marLeft w:val="0"/>
              <w:marRight w:val="0"/>
              <w:marTop w:val="0"/>
              <w:marBottom w:val="0"/>
              <w:divBdr>
                <w:top w:val="none" w:sz="0" w:space="0" w:color="auto"/>
                <w:left w:val="none" w:sz="0" w:space="0" w:color="auto"/>
                <w:bottom w:val="none" w:sz="0" w:space="0" w:color="auto"/>
                <w:right w:val="none" w:sz="0" w:space="0" w:color="auto"/>
              </w:divBdr>
              <w:divsChild>
                <w:div w:id="950818791">
                  <w:marLeft w:val="0"/>
                  <w:marRight w:val="0"/>
                  <w:marTop w:val="0"/>
                  <w:marBottom w:val="0"/>
                  <w:divBdr>
                    <w:top w:val="none" w:sz="0" w:space="0" w:color="auto"/>
                    <w:left w:val="none" w:sz="0" w:space="0" w:color="auto"/>
                    <w:bottom w:val="none" w:sz="0" w:space="0" w:color="auto"/>
                    <w:right w:val="none" w:sz="0" w:space="0" w:color="auto"/>
                  </w:divBdr>
                  <w:divsChild>
                    <w:div w:id="974409441">
                      <w:marLeft w:val="0"/>
                      <w:marRight w:val="0"/>
                      <w:marTop w:val="0"/>
                      <w:marBottom w:val="0"/>
                      <w:divBdr>
                        <w:top w:val="none" w:sz="0" w:space="0" w:color="auto"/>
                        <w:left w:val="none" w:sz="0" w:space="0" w:color="auto"/>
                        <w:bottom w:val="none" w:sz="0" w:space="0" w:color="auto"/>
                        <w:right w:val="none" w:sz="0" w:space="0" w:color="auto"/>
                      </w:divBdr>
                      <w:divsChild>
                        <w:div w:id="290788251">
                          <w:marLeft w:val="0"/>
                          <w:marRight w:val="0"/>
                          <w:marTop w:val="0"/>
                          <w:marBottom w:val="0"/>
                          <w:divBdr>
                            <w:top w:val="none" w:sz="0" w:space="0" w:color="auto"/>
                            <w:left w:val="none" w:sz="0" w:space="0" w:color="auto"/>
                            <w:bottom w:val="none" w:sz="0" w:space="0" w:color="auto"/>
                            <w:right w:val="none" w:sz="0" w:space="0" w:color="auto"/>
                          </w:divBdr>
                          <w:divsChild>
                            <w:div w:id="344748247">
                              <w:marLeft w:val="0"/>
                              <w:marRight w:val="0"/>
                              <w:marTop w:val="0"/>
                              <w:marBottom w:val="0"/>
                              <w:divBdr>
                                <w:top w:val="none" w:sz="0" w:space="0" w:color="auto"/>
                                <w:left w:val="none" w:sz="0" w:space="0" w:color="auto"/>
                                <w:bottom w:val="none" w:sz="0" w:space="0" w:color="auto"/>
                                <w:right w:val="none" w:sz="0" w:space="0" w:color="auto"/>
                              </w:divBdr>
                              <w:divsChild>
                                <w:div w:id="2030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69098">
      <w:bodyDiv w:val="1"/>
      <w:marLeft w:val="0"/>
      <w:marRight w:val="0"/>
      <w:marTop w:val="0"/>
      <w:marBottom w:val="0"/>
      <w:divBdr>
        <w:top w:val="none" w:sz="0" w:space="0" w:color="auto"/>
        <w:left w:val="none" w:sz="0" w:space="0" w:color="auto"/>
        <w:bottom w:val="none" w:sz="0" w:space="0" w:color="auto"/>
        <w:right w:val="none" w:sz="0" w:space="0" w:color="auto"/>
      </w:divBdr>
    </w:div>
    <w:div w:id="1966546466">
      <w:bodyDiv w:val="1"/>
      <w:marLeft w:val="0"/>
      <w:marRight w:val="0"/>
      <w:marTop w:val="0"/>
      <w:marBottom w:val="0"/>
      <w:divBdr>
        <w:top w:val="none" w:sz="0" w:space="0" w:color="auto"/>
        <w:left w:val="none" w:sz="0" w:space="0" w:color="auto"/>
        <w:bottom w:val="none" w:sz="0" w:space="0" w:color="auto"/>
        <w:right w:val="none" w:sz="0" w:space="0" w:color="auto"/>
      </w:divBdr>
    </w:div>
    <w:div w:id="2126658609">
      <w:bodyDiv w:val="1"/>
      <w:marLeft w:val="0"/>
      <w:marRight w:val="0"/>
      <w:marTop w:val="0"/>
      <w:marBottom w:val="0"/>
      <w:divBdr>
        <w:top w:val="none" w:sz="0" w:space="0" w:color="auto"/>
        <w:left w:val="none" w:sz="0" w:space="0" w:color="auto"/>
        <w:bottom w:val="none" w:sz="0" w:space="0" w:color="auto"/>
        <w:right w:val="none" w:sz="0" w:space="0" w:color="auto"/>
      </w:divBdr>
      <w:divsChild>
        <w:div w:id="32313562">
          <w:marLeft w:val="0"/>
          <w:marRight w:val="0"/>
          <w:marTop w:val="0"/>
          <w:marBottom w:val="0"/>
          <w:divBdr>
            <w:top w:val="none" w:sz="0" w:space="0" w:color="auto"/>
            <w:left w:val="none" w:sz="0" w:space="0" w:color="auto"/>
            <w:bottom w:val="none" w:sz="0" w:space="0" w:color="auto"/>
            <w:right w:val="none" w:sz="0" w:space="0" w:color="auto"/>
          </w:divBdr>
          <w:divsChild>
            <w:div w:id="1189754370">
              <w:marLeft w:val="0"/>
              <w:marRight w:val="0"/>
              <w:marTop w:val="0"/>
              <w:marBottom w:val="0"/>
              <w:divBdr>
                <w:top w:val="none" w:sz="0" w:space="0" w:color="auto"/>
                <w:left w:val="none" w:sz="0" w:space="0" w:color="auto"/>
                <w:bottom w:val="none" w:sz="0" w:space="0" w:color="auto"/>
                <w:right w:val="none" w:sz="0" w:space="0" w:color="auto"/>
              </w:divBdr>
              <w:divsChild>
                <w:div w:id="1180894927">
                  <w:marLeft w:val="0"/>
                  <w:marRight w:val="0"/>
                  <w:marTop w:val="0"/>
                  <w:marBottom w:val="0"/>
                  <w:divBdr>
                    <w:top w:val="none" w:sz="0" w:space="12" w:color="auto"/>
                    <w:left w:val="none" w:sz="0" w:space="12" w:color="auto"/>
                    <w:bottom w:val="none" w:sz="0" w:space="12" w:color="auto"/>
                    <w:right w:val="none" w:sz="0" w:space="12" w:color="auto"/>
                  </w:divBdr>
                  <w:divsChild>
                    <w:div w:id="959186276">
                      <w:marLeft w:val="0"/>
                      <w:marRight w:val="0"/>
                      <w:marTop w:val="0"/>
                      <w:marBottom w:val="0"/>
                      <w:divBdr>
                        <w:top w:val="none" w:sz="0" w:space="12" w:color="auto"/>
                        <w:left w:val="none" w:sz="0" w:space="12" w:color="auto"/>
                        <w:bottom w:val="none" w:sz="0" w:space="12" w:color="auto"/>
                        <w:right w:val="none" w:sz="0" w:space="12" w:color="auto"/>
                      </w:divBdr>
                      <w:divsChild>
                        <w:div w:id="2033023296">
                          <w:marLeft w:val="0"/>
                          <w:marRight w:val="0"/>
                          <w:marTop w:val="0"/>
                          <w:marBottom w:val="0"/>
                          <w:divBdr>
                            <w:top w:val="none" w:sz="0" w:space="0" w:color="auto"/>
                            <w:left w:val="none" w:sz="0" w:space="0" w:color="auto"/>
                            <w:bottom w:val="none" w:sz="0" w:space="0" w:color="auto"/>
                            <w:right w:val="none" w:sz="0" w:space="0" w:color="auto"/>
                          </w:divBdr>
                          <w:divsChild>
                            <w:div w:id="1735010346">
                              <w:marLeft w:val="-225"/>
                              <w:marRight w:val="-225"/>
                              <w:marTop w:val="0"/>
                              <w:marBottom w:val="0"/>
                              <w:divBdr>
                                <w:top w:val="none" w:sz="0" w:space="0" w:color="auto"/>
                                <w:left w:val="none" w:sz="0" w:space="0" w:color="auto"/>
                                <w:bottom w:val="none" w:sz="0" w:space="0" w:color="auto"/>
                                <w:right w:val="none" w:sz="0" w:space="0" w:color="auto"/>
                              </w:divBdr>
                              <w:divsChild>
                                <w:div w:id="182405104">
                                  <w:marLeft w:val="0"/>
                                  <w:marRight w:val="0"/>
                                  <w:marTop w:val="0"/>
                                  <w:marBottom w:val="0"/>
                                  <w:divBdr>
                                    <w:top w:val="none" w:sz="0" w:space="0" w:color="auto"/>
                                    <w:left w:val="none" w:sz="0" w:space="0" w:color="auto"/>
                                    <w:bottom w:val="none" w:sz="0" w:space="0" w:color="auto"/>
                                    <w:right w:val="none" w:sz="0" w:space="0" w:color="auto"/>
                                  </w:divBdr>
                                  <w:divsChild>
                                    <w:div w:id="1836257868">
                                      <w:marLeft w:val="0"/>
                                      <w:marRight w:val="0"/>
                                      <w:marTop w:val="0"/>
                                      <w:marBottom w:val="0"/>
                                      <w:divBdr>
                                        <w:top w:val="none" w:sz="0" w:space="0" w:color="auto"/>
                                        <w:left w:val="none" w:sz="0" w:space="0" w:color="auto"/>
                                        <w:bottom w:val="none" w:sz="0" w:space="0" w:color="auto"/>
                                        <w:right w:val="none" w:sz="0" w:space="0" w:color="auto"/>
                                      </w:divBdr>
                                      <w:divsChild>
                                        <w:div w:id="788091041">
                                          <w:marLeft w:val="-225"/>
                                          <w:marRight w:val="-225"/>
                                          <w:marTop w:val="0"/>
                                          <w:marBottom w:val="0"/>
                                          <w:divBdr>
                                            <w:top w:val="none" w:sz="0" w:space="0" w:color="auto"/>
                                            <w:left w:val="none" w:sz="0" w:space="0" w:color="auto"/>
                                            <w:bottom w:val="none" w:sz="0" w:space="0" w:color="auto"/>
                                            <w:right w:val="none" w:sz="0" w:space="0" w:color="auto"/>
                                          </w:divBdr>
                                          <w:divsChild>
                                            <w:div w:id="897203052">
                                              <w:marLeft w:val="0"/>
                                              <w:marRight w:val="0"/>
                                              <w:marTop w:val="0"/>
                                              <w:marBottom w:val="0"/>
                                              <w:divBdr>
                                                <w:top w:val="none" w:sz="0" w:space="0" w:color="auto"/>
                                                <w:left w:val="none" w:sz="0" w:space="0" w:color="auto"/>
                                                <w:bottom w:val="none" w:sz="0" w:space="0" w:color="auto"/>
                                                <w:right w:val="none" w:sz="0" w:space="0" w:color="auto"/>
                                              </w:divBdr>
                                            </w:div>
                                          </w:divsChild>
                                        </w:div>
                                        <w:div w:id="1565870029">
                                          <w:marLeft w:val="-225"/>
                                          <w:marRight w:val="-225"/>
                                          <w:marTop w:val="0"/>
                                          <w:marBottom w:val="0"/>
                                          <w:divBdr>
                                            <w:top w:val="none" w:sz="0" w:space="0" w:color="auto"/>
                                            <w:left w:val="none" w:sz="0" w:space="0" w:color="auto"/>
                                            <w:bottom w:val="none" w:sz="0" w:space="0" w:color="auto"/>
                                            <w:right w:val="none" w:sz="0" w:space="0" w:color="auto"/>
                                          </w:divBdr>
                                          <w:divsChild>
                                            <w:div w:id="1264414173">
                                              <w:marLeft w:val="0"/>
                                              <w:marRight w:val="0"/>
                                              <w:marTop w:val="0"/>
                                              <w:marBottom w:val="0"/>
                                              <w:divBdr>
                                                <w:top w:val="none" w:sz="0" w:space="0" w:color="auto"/>
                                                <w:left w:val="none" w:sz="0" w:space="0" w:color="auto"/>
                                                <w:bottom w:val="none" w:sz="0" w:space="0" w:color="auto"/>
                                                <w:right w:val="none" w:sz="0" w:space="0" w:color="auto"/>
                                              </w:divBdr>
                                            </w:div>
                                          </w:divsChild>
                                        </w:div>
                                        <w:div w:id="74206983">
                                          <w:marLeft w:val="0"/>
                                          <w:marRight w:val="0"/>
                                          <w:marTop w:val="0"/>
                                          <w:marBottom w:val="0"/>
                                          <w:divBdr>
                                            <w:top w:val="none" w:sz="0" w:space="0" w:color="auto"/>
                                            <w:left w:val="none" w:sz="0" w:space="0" w:color="auto"/>
                                            <w:bottom w:val="none" w:sz="0" w:space="0" w:color="auto"/>
                                            <w:right w:val="none" w:sz="0" w:space="0" w:color="auto"/>
                                          </w:divBdr>
                                          <w:divsChild>
                                            <w:div w:id="230386878">
                                              <w:marLeft w:val="0"/>
                                              <w:marRight w:val="0"/>
                                              <w:marTop w:val="0"/>
                                              <w:marBottom w:val="0"/>
                                              <w:divBdr>
                                                <w:top w:val="none" w:sz="0" w:space="0" w:color="auto"/>
                                                <w:left w:val="none" w:sz="0" w:space="0" w:color="auto"/>
                                                <w:bottom w:val="none" w:sz="0" w:space="0" w:color="auto"/>
                                                <w:right w:val="none" w:sz="0" w:space="0" w:color="auto"/>
                                              </w:divBdr>
                                            </w:div>
                                            <w:div w:id="1309818712">
                                              <w:marLeft w:val="0"/>
                                              <w:marRight w:val="0"/>
                                              <w:marTop w:val="0"/>
                                              <w:marBottom w:val="0"/>
                                              <w:divBdr>
                                                <w:top w:val="none" w:sz="0" w:space="0" w:color="auto"/>
                                                <w:left w:val="none" w:sz="0" w:space="0" w:color="auto"/>
                                                <w:bottom w:val="none" w:sz="0" w:space="0" w:color="auto"/>
                                                <w:right w:val="none" w:sz="0" w:space="0" w:color="auto"/>
                                              </w:divBdr>
                                            </w:div>
                                            <w:div w:id="562762251">
                                              <w:marLeft w:val="0"/>
                                              <w:marRight w:val="0"/>
                                              <w:marTop w:val="0"/>
                                              <w:marBottom w:val="0"/>
                                              <w:divBdr>
                                                <w:top w:val="none" w:sz="0" w:space="0" w:color="auto"/>
                                                <w:left w:val="none" w:sz="0" w:space="0" w:color="auto"/>
                                                <w:bottom w:val="none" w:sz="0" w:space="0" w:color="auto"/>
                                                <w:right w:val="none" w:sz="0" w:space="0" w:color="auto"/>
                                              </w:divBdr>
                                            </w:div>
                                            <w:div w:id="860046223">
                                              <w:marLeft w:val="0"/>
                                              <w:marRight w:val="0"/>
                                              <w:marTop w:val="0"/>
                                              <w:marBottom w:val="0"/>
                                              <w:divBdr>
                                                <w:top w:val="none" w:sz="0" w:space="0" w:color="auto"/>
                                                <w:left w:val="none" w:sz="0" w:space="0" w:color="auto"/>
                                                <w:bottom w:val="none" w:sz="0" w:space="0" w:color="auto"/>
                                                <w:right w:val="none" w:sz="0" w:space="0" w:color="auto"/>
                                              </w:divBdr>
                                            </w:div>
                                            <w:div w:id="1308779988">
                                              <w:marLeft w:val="0"/>
                                              <w:marRight w:val="0"/>
                                              <w:marTop w:val="0"/>
                                              <w:marBottom w:val="0"/>
                                              <w:divBdr>
                                                <w:top w:val="none" w:sz="0" w:space="0" w:color="auto"/>
                                                <w:left w:val="none" w:sz="0" w:space="0" w:color="auto"/>
                                                <w:bottom w:val="none" w:sz="0" w:space="0" w:color="auto"/>
                                                <w:right w:val="none" w:sz="0" w:space="0" w:color="auto"/>
                                              </w:divBdr>
                                            </w:div>
                                            <w:div w:id="2029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documents/2017/06/26/2017-13107/regulation-d-reserve-requirements-of-depository-institutions" TargetMode="External"/><Relationship Id="rId18" Type="http://schemas.openxmlformats.org/officeDocument/2006/relationships/hyperlink" Target="https://www.federalregister.gov/documents/2017/06/07/2017-11319/appeals-procedures" TargetMode="External"/><Relationship Id="rId26" Type="http://schemas.openxmlformats.org/officeDocument/2006/relationships/hyperlink" Target="http://www.dfi.wa.gov/sites/default/files/credit-unions/interpretive-letters/I-17-02.pdf" TargetMode="External"/><Relationship Id="rId39" Type="http://schemas.openxmlformats.org/officeDocument/2006/relationships/hyperlink" Target="https://olis.leg.state.or.us/liz/2017R1/Measures/Overview/HB2622?pubDate=2017-02-27-10-55" TargetMode="External"/><Relationship Id="rId21" Type="http://schemas.openxmlformats.org/officeDocument/2006/relationships/hyperlink" Target="https://www.federalregister.gov/documents/2017/06/01/2017-11318/fair-lending-report-of-the-consumer-financial-protection-bureau-april-2017?utm_campaign=subscription%20mailing%20list&amp;utm_source=federalregister.gov&amp;utm_medium=email" TargetMode="External"/><Relationship Id="rId34" Type="http://schemas.openxmlformats.org/officeDocument/2006/relationships/hyperlink" Target="https://nwcompliance.org/availability-of-appraisers/" TargetMode="External"/><Relationship Id="rId42" Type="http://schemas.openxmlformats.org/officeDocument/2006/relationships/hyperlink" Target="https://olis.leg.state.or.us/liz/2017R1/Measures/Overview/SB113?pubDate=2017-03-02-11-25" TargetMode="External"/><Relationship Id="rId47" Type="http://schemas.openxmlformats.org/officeDocument/2006/relationships/hyperlink" Target="https://nwcompliance.org/washington-credit-union-act-update/" TargetMode="External"/><Relationship Id="rId50" Type="http://schemas.openxmlformats.org/officeDocument/2006/relationships/hyperlink" Target="https://s3.amazonaws.com/files.consumerfinance.gov/f/documents/062017_cfpb_Fay_Servicing-consent_order.pdf" TargetMode="External"/><Relationship Id="rId55" Type="http://schemas.openxmlformats.org/officeDocument/2006/relationships/hyperlink" Target="https://buckleysandler.com/sites/default/files/Buckley%20Sandler%20InfoBytes%20-%20Consent%20Order%20in%20the%20Matter%20of%20Timothy%20Perry.pdf" TargetMode="External"/><Relationship Id="rId63" Type="http://schemas.openxmlformats.org/officeDocument/2006/relationships/theme" Target="theme/theme1.xml"/><Relationship Id="rId7" Type="http://schemas.openxmlformats.org/officeDocument/2006/relationships/hyperlink" Target="https://nwcompliance.org/oregon-semi-annual-escrow-rate-adjustment-3/" TargetMode="External"/><Relationship Id="rId2" Type="http://schemas.openxmlformats.org/officeDocument/2006/relationships/styles" Target="styles.xml"/><Relationship Id="rId16" Type="http://schemas.openxmlformats.org/officeDocument/2006/relationships/hyperlink" Target="https://s3.amazonaws.com/files.consumerfinance.gov/f/documents/20170615_cfpb_NPRM_Prepaid-Accounts-Amendments.pdf" TargetMode="External"/><Relationship Id="rId20" Type="http://schemas.openxmlformats.org/officeDocument/2006/relationships/hyperlink" Target="https://www.federalregister.gov/documents/2017/06/02/2017-11380/availability-of-funds-and-collection-of-checks" TargetMode="External"/><Relationship Id="rId29" Type="http://schemas.openxmlformats.org/officeDocument/2006/relationships/hyperlink" Target="https://www.ncua.gov/newsroom/Pages/ncua-report/2017/second-quarter/questions-implementing-new-mbl-rule.aspx" TargetMode="External"/><Relationship Id="rId41" Type="http://schemas.openxmlformats.org/officeDocument/2006/relationships/hyperlink" Target="https://olis.leg.state.or.us/liz/2017R1/Measures/Overview/HB2346?pubDate=2017-02-22-09-10" TargetMode="External"/><Relationship Id="rId54" Type="http://schemas.openxmlformats.org/officeDocument/2006/relationships/hyperlink" Target="https://www.consumerfinance.gov/about-us/newsroom/consumer-financial-protection-bureau-encourages-retail-credit-card-companies-consider-more-transparent-promotion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documents/2017/06/30/2017-13636/safe-harbor?utm_campaign=subscription%20mailing%20list&amp;utm_source=federalregister.gov&amp;utm_medium=email" TargetMode="External"/><Relationship Id="rId24" Type="http://schemas.openxmlformats.org/officeDocument/2006/relationships/hyperlink" Target="https://www.treasury.gov/resource-center/sanctions/Programs/Documents/cuba_faqs_20170616.pdf" TargetMode="External"/><Relationship Id="rId32" Type="http://schemas.openxmlformats.org/officeDocument/2006/relationships/hyperlink" Target="https://www.csbs.org/CyberSecurity/Documents/CSBS%20Cybersecurity%20101%20Resource%20Guide%20FINAL.pdf" TargetMode="External"/><Relationship Id="rId37" Type="http://schemas.openxmlformats.org/officeDocument/2006/relationships/hyperlink" Target="https://olis.leg.state.or.us/liz/2017R1/Measures/Overview/HB2359?pubDate=2017-02-27-08-36" TargetMode="External"/><Relationship Id="rId40" Type="http://schemas.openxmlformats.org/officeDocument/2006/relationships/hyperlink" Target="https://olis.leg.state.or.us/liz/2017R1/Measures/Overview/HB2229?pubDate=2017-02-27-16-59" TargetMode="External"/><Relationship Id="rId45" Type="http://schemas.openxmlformats.org/officeDocument/2006/relationships/hyperlink" Target="http://app.leg.wa.gov/billsummary?BillNumber=1318&amp;Year=2017" TargetMode="External"/><Relationship Id="rId53" Type="http://schemas.openxmlformats.org/officeDocument/2006/relationships/hyperlink" Target="https://www.consumerfinance.gov/about-us/blog/how-understand-special-promotional-financing-offers-credit-cards/" TargetMode="External"/><Relationship Id="rId58" Type="http://schemas.openxmlformats.org/officeDocument/2006/relationships/hyperlink" Target="https://www.unodc.org/wdr2017/en/topics.html" TargetMode="External"/><Relationship Id="rId5" Type="http://schemas.openxmlformats.org/officeDocument/2006/relationships/footnotes" Target="footnotes.xml"/><Relationship Id="rId15" Type="http://schemas.openxmlformats.org/officeDocument/2006/relationships/hyperlink" Target="https://www.cuna.org/registry/" TargetMode="External"/><Relationship Id="rId23" Type="http://schemas.openxmlformats.org/officeDocument/2006/relationships/hyperlink" Target="https://www.ftc.gov/reports/ftc-enforcement-activities-related-compliance-regulation-z-truth-lending-act-regulation-m-0" TargetMode="External"/><Relationship Id="rId28" Type="http://schemas.openxmlformats.org/officeDocument/2006/relationships/hyperlink" Target="https://www.occ.gov/news-issuances/bulletins/2017/bulletin-2017-21.html" TargetMode="External"/><Relationship Id="rId36" Type="http://schemas.openxmlformats.org/officeDocument/2006/relationships/hyperlink" Target="https://olis.leg.state.or.us/liz/2017R1/Measures/Overview/HB2161" TargetMode="External"/><Relationship Id="rId49" Type="http://schemas.openxmlformats.org/officeDocument/2006/relationships/hyperlink" Target="http://app.leg.wa.gov/billsummary?BillNumber=5343&amp;Year=2017" TargetMode="External"/><Relationship Id="rId57" Type="http://schemas.openxmlformats.org/officeDocument/2006/relationships/hyperlink" Target="https://www.treasury.gov/press-center/press-releases/Documents/A%20Financial%20System.pdf" TargetMode="External"/><Relationship Id="rId61" Type="http://schemas.openxmlformats.org/officeDocument/2006/relationships/footer" Target="footer1.xml"/><Relationship Id="rId10" Type="http://schemas.openxmlformats.org/officeDocument/2006/relationships/hyperlink" Target="https://www.federalregister.gov/documents/2017/06/05/2017-11207/federal-home-loan-bank-membership-for-non-federally-insured-credit-unions" TargetMode="External"/><Relationship Id="rId19" Type="http://schemas.openxmlformats.org/officeDocument/2006/relationships/hyperlink" Target="https://www.federalregister.gov/documents/2017/06/08/2017-11331/bylaws-bank-conversions-and-mergers-and-voluntary-mergers-of-federally-insured-credit-unions" TargetMode="External"/><Relationship Id="rId31" Type="http://schemas.openxmlformats.org/officeDocument/2006/relationships/hyperlink" Target="https://www.ncua.gov/regulation-supervision/Pages/rules/legal-opinions/2017/asset-securitization-authority.pdf" TargetMode="External"/><Relationship Id="rId44" Type="http://schemas.openxmlformats.org/officeDocument/2006/relationships/hyperlink" Target="http://app.leg.wa.gov/billsummary?BillNumber=1209&amp;Year=2017" TargetMode="External"/><Relationship Id="rId52" Type="http://schemas.openxmlformats.org/officeDocument/2006/relationships/hyperlink" Target="https://www.federalreserve.gov/newsevents/pressreleases/files/enf20170608a1.pdf"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ua.gov/regulation-supervision/Pages/documents/effective-20170930-form-5300-instructions.pdf" TargetMode="External"/><Relationship Id="rId14" Type="http://schemas.openxmlformats.org/officeDocument/2006/relationships/hyperlink" Target="https://www.irs.gov/uac/newsroom/irs-now-accepting-renewal-applications-for-itins-set-to-expire-by-end-of-2017" TargetMode="External"/><Relationship Id="rId22" Type="http://schemas.openxmlformats.org/officeDocument/2006/relationships/hyperlink" Target="C://Users/jimm/Desktop/CCOI12017.pdf" TargetMode="External"/><Relationship Id="rId27" Type="http://schemas.openxmlformats.org/officeDocument/2006/relationships/hyperlink" Target="https://s3.amazonaws.com/files.consumerfinance.gov/f/documents/201706_cfpb_prepaid-small-entity-compliance-guide.pdf?utm_campaign=ABA-Newsbytes-061617-HTML&amp;utm_medium=email&amp;utm_source=Eloqua" TargetMode="External"/><Relationship Id="rId30" Type="http://schemas.openxmlformats.org/officeDocument/2006/relationships/hyperlink" Target="https://www.ffiec.gov/cybersecurity.htm" TargetMode="External"/><Relationship Id="rId35" Type="http://schemas.openxmlformats.org/officeDocument/2006/relationships/hyperlink" Target="https://nwcompliance.org/oregon-proposed-hb-2581-access-device-security-breaches/" TargetMode="External"/><Relationship Id="rId43" Type="http://schemas.openxmlformats.org/officeDocument/2006/relationships/hyperlink" Target="https://olis.leg.state.or.us/liz/2017R1/Measures/Overview/SB254?pubDate=2017-03-02-11-25" TargetMode="External"/><Relationship Id="rId48" Type="http://schemas.openxmlformats.org/officeDocument/2006/relationships/hyperlink" Target="https://nwcompliance.org/e-notaries-coming-washington/" TargetMode="External"/><Relationship Id="rId56" Type="http://schemas.openxmlformats.org/officeDocument/2006/relationships/hyperlink" Target="http://app.leg.wa.gov/billsummary?BillNumber=5131&amp;Year=2017" TargetMode="External"/><Relationship Id="rId8" Type="http://schemas.openxmlformats.org/officeDocument/2006/relationships/hyperlink" Target="https://nwcompliance.org/e-notaries-coming-washington/" TargetMode="External"/><Relationship Id="rId51" Type="http://schemas.openxmlformats.org/officeDocument/2006/relationships/hyperlink" Target="http://www.crosswellsfargotcpa.com/" TargetMode="External"/><Relationship Id="rId3" Type="http://schemas.openxmlformats.org/officeDocument/2006/relationships/settings" Target="settings.xml"/><Relationship Id="rId12" Type="http://schemas.openxmlformats.org/officeDocument/2006/relationships/hyperlink" Target="https://www.federalregister.gov/documents/2017/06/15/2017-11379/availability-of-funds-and-collection-of-checks?utm_campaign=subscription%20mailing%20list&amp;utm_source=federalregister.gov&amp;utm_medium=email" TargetMode="External"/><Relationship Id="rId17" Type="http://schemas.openxmlformats.org/officeDocument/2006/relationships/hyperlink" Target="https://www.federalregister.gov/documents/2017/06/07/2017-11320/supervisory-review-committee-procedures-for-appealing-material-supervisory-determinations" TargetMode="External"/><Relationship Id="rId25" Type="http://schemas.openxmlformats.org/officeDocument/2006/relationships/hyperlink" Target="https://www.ftc.gov/news-events/blogs/business-blog/2017/06/ftc-updates-coppa-compliance-plan-business?utm_source=govdelivery" TargetMode="External"/><Relationship Id="rId33" Type="http://schemas.openxmlformats.org/officeDocument/2006/relationships/hyperlink" Target="https://www.federalregister.gov/documents/2017/06/30/2017-13799/policy-guidance-on-supervisory-and-enforcement-priorities-regarding-early-compliance-with-the-2016" TargetMode="External"/><Relationship Id="rId38" Type="http://schemas.openxmlformats.org/officeDocument/2006/relationships/hyperlink" Target="https://olis.leg.state.or.us/liz/2017R1/Measures/Overview/HB2624?pubDate=2017-02-27-08-36" TargetMode="External"/><Relationship Id="rId46" Type="http://schemas.openxmlformats.org/officeDocument/2006/relationships/hyperlink" Target="http://app.leg.wa.gov/billsummary?BillNumber=5031&amp;Year=2017" TargetMode="External"/><Relationship Id="rId59" Type="http://schemas.openxmlformats.org/officeDocument/2006/relationships/hyperlink" Target="http://www.abacusmovie.com/abou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9</Pages>
  <Words>3893</Words>
  <Characters>22193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NW Compliance Group</Company>
  <LinksUpToDate>false</LinksUpToDate>
  <CharactersWithSpaces>26034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McKinney</dc:creator>
  <cp:lastModifiedBy>Jim McKinney</cp:lastModifiedBy>
  <cp:revision>7</cp:revision>
  <cp:lastPrinted>2017-07-03T15:23:00Z</cp:lastPrinted>
  <dcterms:created xsi:type="dcterms:W3CDTF">2017-07-02T16:03:00Z</dcterms:created>
  <dcterms:modified xsi:type="dcterms:W3CDTF">2017-07-03T20:44:00Z</dcterms:modified>
</cp:coreProperties>
</file>