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tcBorders>
              <w:top w:val="nil"/>
              <w:left w:val="nil"/>
              <w:right w:val="nil"/>
            </w:tcBorders>
          </w:tcPr>
          <w:p w:rsidR="00AC6A22" w:rsidRDefault="00AC6A22" w:rsidP="00413996">
            <w:pPr>
              <w:rPr>
                <w:b/>
              </w:rPr>
            </w:pPr>
            <w:r>
              <w:rPr>
                <w:b/>
              </w:rPr>
              <w:t>Summary</w:t>
            </w:r>
          </w:p>
        </w:tc>
      </w:tr>
      <w:tr w:rsidR="00B532FB" w:rsidRPr="00967605" w:rsidTr="00AC6A22">
        <w:tc>
          <w:tcPr>
            <w:tcW w:w="1278" w:type="dxa"/>
          </w:tcPr>
          <w:p w:rsidR="00630DEC" w:rsidRPr="00891FE6" w:rsidRDefault="00CC43EC" w:rsidP="00413996">
            <w:r>
              <w:t>04/01/2018</w:t>
            </w:r>
          </w:p>
        </w:tc>
        <w:tc>
          <w:tcPr>
            <w:tcW w:w="2250" w:type="dxa"/>
          </w:tcPr>
          <w:p w:rsidR="00B532FB" w:rsidRDefault="00CC43EC" w:rsidP="000C6F62">
            <w:r>
              <w:t>Prepaid Rule (Regulation E &amp; Z)</w:t>
            </w:r>
          </w:p>
        </w:tc>
        <w:tc>
          <w:tcPr>
            <w:tcW w:w="1440" w:type="dxa"/>
          </w:tcPr>
          <w:p w:rsidR="00B532FB" w:rsidRDefault="00CC43EC" w:rsidP="006E10DB">
            <w:pPr>
              <w:spacing w:after="120"/>
            </w:pPr>
            <w:hyperlink r:id="rId7" w:history="1">
              <w:r w:rsidRPr="00CC43EC">
                <w:rPr>
                  <w:rStyle w:val="Hyperlink"/>
                </w:rPr>
                <w:t>82 FR 18975</w:t>
              </w:r>
            </w:hyperlink>
          </w:p>
        </w:tc>
        <w:tc>
          <w:tcPr>
            <w:tcW w:w="8208" w:type="dxa"/>
          </w:tcPr>
          <w:p w:rsidR="00630DEC" w:rsidRDefault="00CC43EC" w:rsidP="000F5081">
            <w:r>
              <w:t xml:space="preserve">The CFPB postponed the effective date of its final rule on covered prepaid accounts, from October 1, 2017 to April 1, 2018, to allow more time for issuers to comply with the requirements.  </w:t>
            </w:r>
          </w:p>
        </w:tc>
      </w:tr>
    </w:tbl>
    <w:p w:rsidR="00CE26B8" w:rsidRPr="00CE26B8" w:rsidRDefault="00CE26B8" w:rsidP="000F5081">
      <w:pPr>
        <w:spacing w:after="0" w:line="240" w:lineRule="auto"/>
      </w:pPr>
    </w:p>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152E97" w:rsidRPr="00967605" w:rsidTr="00413996">
        <w:tc>
          <w:tcPr>
            <w:tcW w:w="1278" w:type="dxa"/>
          </w:tcPr>
          <w:p w:rsidR="00152E97" w:rsidRPr="000E1F7A" w:rsidRDefault="00A809DC" w:rsidP="00413996">
            <w:r>
              <w:t>05/04/2017</w:t>
            </w:r>
          </w:p>
        </w:tc>
        <w:tc>
          <w:tcPr>
            <w:tcW w:w="2282" w:type="dxa"/>
          </w:tcPr>
          <w:p w:rsidR="00152E97" w:rsidRDefault="00B0179F" w:rsidP="00413996">
            <w:hyperlink r:id="rId8" w:history="1">
              <w:r w:rsidR="000E30FB" w:rsidRPr="00DB5E19">
                <w:rPr>
                  <w:rStyle w:val="Hyperlink"/>
                </w:rPr>
                <w:t>Regulation B</w:t>
              </w:r>
              <w:r w:rsidR="00DB5E19" w:rsidRPr="00DB5E19">
                <w:rPr>
                  <w:rStyle w:val="Hyperlink"/>
                </w:rPr>
                <w:t xml:space="preserve"> (ECOA)</w:t>
              </w:r>
            </w:hyperlink>
          </w:p>
        </w:tc>
        <w:tc>
          <w:tcPr>
            <w:tcW w:w="1411" w:type="dxa"/>
          </w:tcPr>
          <w:p w:rsidR="00152E97" w:rsidRPr="000E1F7A" w:rsidRDefault="00A809DC" w:rsidP="00413996">
            <w:hyperlink r:id="rId9" w:history="1">
              <w:r w:rsidRPr="00A809DC">
                <w:rPr>
                  <w:rStyle w:val="Hyperlink"/>
                </w:rPr>
                <w:t>82 FR 16307</w:t>
              </w:r>
            </w:hyperlink>
          </w:p>
        </w:tc>
        <w:tc>
          <w:tcPr>
            <w:tcW w:w="8205" w:type="dxa"/>
          </w:tcPr>
          <w:p w:rsidR="00152E97" w:rsidRDefault="00DB5E19" w:rsidP="0041399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Aligns Regulation B with the new requirements for Regulation C and HMDA reporting.</w:t>
            </w:r>
          </w:p>
        </w:tc>
      </w:tr>
      <w:tr w:rsidR="00DD09C7" w:rsidRPr="00967605" w:rsidTr="00413996">
        <w:tc>
          <w:tcPr>
            <w:tcW w:w="1278" w:type="dxa"/>
          </w:tcPr>
          <w:p w:rsidR="00DD09C7" w:rsidRDefault="003632A8" w:rsidP="00413996">
            <w:r>
              <w:t>05/25/2017</w:t>
            </w:r>
          </w:p>
        </w:tc>
        <w:tc>
          <w:tcPr>
            <w:tcW w:w="2282" w:type="dxa"/>
          </w:tcPr>
          <w:p w:rsidR="00DD09C7" w:rsidRDefault="003632A8" w:rsidP="00413996">
            <w:r>
              <w:t>Regulation C (HMDA)</w:t>
            </w:r>
          </w:p>
        </w:tc>
        <w:tc>
          <w:tcPr>
            <w:tcW w:w="1411" w:type="dxa"/>
          </w:tcPr>
          <w:p w:rsidR="00DD09C7" w:rsidRDefault="003632A8" w:rsidP="00413996">
            <w:hyperlink r:id="rId10" w:history="1">
              <w:r w:rsidRPr="003632A8">
                <w:rPr>
                  <w:rStyle w:val="Hyperlink"/>
                </w:rPr>
                <w:t>82 FR 19142</w:t>
              </w:r>
            </w:hyperlink>
          </w:p>
        </w:tc>
        <w:tc>
          <w:tcPr>
            <w:tcW w:w="8205" w:type="dxa"/>
          </w:tcPr>
          <w:p w:rsidR="00DD09C7" w:rsidRDefault="00A809DC" w:rsidP="00413996">
            <w:pPr>
              <w:pStyle w:val="NormalWeb"/>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Makes technical corrections and clarifications of certain requirements.</w:t>
            </w:r>
          </w:p>
        </w:tc>
      </w:tr>
    </w:tbl>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957814" w:rsidRPr="00967605" w:rsidTr="000C6F62">
        <w:tc>
          <w:tcPr>
            <w:tcW w:w="2283" w:type="dxa"/>
          </w:tcPr>
          <w:p w:rsidR="00957814" w:rsidRDefault="00B0179F" w:rsidP="00413996">
            <w:hyperlink r:id="rId11" w:history="1">
              <w:r w:rsidR="00957814" w:rsidRPr="00957814">
                <w:rPr>
                  <w:rStyle w:val="Hyperlink"/>
                </w:rPr>
                <w:t>Federal Reserve Beige Book</w:t>
              </w:r>
            </w:hyperlink>
          </w:p>
        </w:tc>
        <w:tc>
          <w:tcPr>
            <w:tcW w:w="10875" w:type="dxa"/>
          </w:tcPr>
          <w:p w:rsidR="00957814" w:rsidRDefault="00957814" w:rsidP="00A809DC">
            <w:pPr>
              <w:pStyle w:val="NormalWeb"/>
              <w:spacing w:before="0" w:beforeAutospacing="0" w:after="0" w:afterAutospacing="0"/>
              <w:rPr>
                <w:rFonts w:asciiTheme="minorHAnsi" w:hAnsiTheme="minorHAnsi" w:cs="Arial"/>
                <w:sz w:val="22"/>
                <w:szCs w:val="22"/>
                <w:shd w:val="clear" w:color="auto" w:fill="FFFFFF"/>
              </w:rPr>
            </w:pPr>
            <w:r w:rsidRPr="00957814">
              <w:rPr>
                <w:rFonts w:asciiTheme="minorHAnsi" w:hAnsiTheme="minorHAnsi" w:cs="Arial"/>
                <w:sz w:val="22"/>
                <w:szCs w:val="22"/>
                <w:shd w:val="clear" w:color="auto" w:fill="FFFFFF"/>
              </w:rPr>
              <w:t>The Federal Reserve Beige Book, released Wednesday, showed increased economic activity in each of the 12 federal regions from mid-February through the end of March. However, the report noted only moderate retail price growth.</w:t>
            </w:r>
          </w:p>
          <w:p w:rsidR="00957814" w:rsidRDefault="00957814" w:rsidP="00A809DC">
            <w:pPr>
              <w:pStyle w:val="NormalWeb"/>
              <w:spacing w:before="0" w:beforeAutospacing="0" w:after="0" w:afterAutospacing="0"/>
              <w:rPr>
                <w:rFonts w:asciiTheme="minorHAnsi" w:hAnsiTheme="minorHAnsi" w:cs="Arial"/>
                <w:sz w:val="22"/>
                <w:szCs w:val="22"/>
                <w:shd w:val="clear" w:color="auto" w:fill="FFFFFF"/>
              </w:rPr>
            </w:pPr>
            <w:r>
              <w:rPr>
                <w:rFonts w:asciiTheme="minorHAnsi" w:hAnsiTheme="minorHAnsi" w:cs="Arial"/>
                <w:sz w:val="22"/>
                <w:szCs w:val="22"/>
                <w:shd w:val="clear" w:color="auto" w:fill="FFFFFF"/>
              </w:rPr>
              <w:t>Under the Financial Institutions section for the San Francisco FRB, “One contact in the Pacific Northwest reported that the continued growth of credit unions threatened smaller community banks in their region.”</w:t>
            </w:r>
          </w:p>
        </w:tc>
      </w:tr>
      <w:tr w:rsidR="00D4416D" w:rsidRPr="00967605" w:rsidTr="000C6F62">
        <w:tc>
          <w:tcPr>
            <w:tcW w:w="2283" w:type="dxa"/>
          </w:tcPr>
          <w:p w:rsidR="00D4416D" w:rsidRDefault="00B0179F" w:rsidP="00413996">
            <w:hyperlink r:id="rId12" w:history="1">
              <w:r w:rsidR="00D4416D" w:rsidRPr="00D4416D">
                <w:rPr>
                  <w:rStyle w:val="Hyperlink"/>
                </w:rPr>
                <w:t>Diversity and Inclusion in the Mortgage Industry:  Readout from an Opening Roundtable</w:t>
              </w:r>
            </w:hyperlink>
          </w:p>
        </w:tc>
        <w:tc>
          <w:tcPr>
            <w:tcW w:w="10875" w:type="dxa"/>
          </w:tcPr>
          <w:p w:rsidR="00D4416D" w:rsidRDefault="00D4416D" w:rsidP="00D4416D">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The CFPB’s Office of Minority and Women Inclusion (OMWI) released a report outlining strategies for promoting diversity and inclusion in the mortgage industry.  </w:t>
            </w:r>
            <w:r w:rsidRPr="00D4416D">
              <w:rPr>
                <w:rFonts w:asciiTheme="minorHAnsi" w:hAnsiTheme="minorHAnsi" w:cs="Arial"/>
                <w:sz w:val="22"/>
                <w:szCs w:val="22"/>
                <w:shd w:val="clear" w:color="auto" w:fill="FFFFFF"/>
              </w:rPr>
              <w:t>The standards are not mandatory, but</w:t>
            </w:r>
            <w:r>
              <w:rPr>
                <w:rFonts w:asciiTheme="minorHAnsi" w:hAnsiTheme="minorHAnsi" w:cs="Arial"/>
                <w:sz w:val="22"/>
                <w:szCs w:val="22"/>
                <w:shd w:val="clear" w:color="auto" w:fill="FFFFFF"/>
              </w:rPr>
              <w:t xml:space="preserve"> </w:t>
            </w:r>
            <w:r w:rsidRPr="00D4416D">
              <w:rPr>
                <w:rFonts w:asciiTheme="minorHAnsi" w:hAnsiTheme="minorHAnsi" w:cs="Arial"/>
                <w:sz w:val="22"/>
                <w:szCs w:val="22"/>
                <w:shd w:val="clear" w:color="auto" w:fill="FFFFFF"/>
              </w:rPr>
              <w:t>they do provide a more specific framework for regulated entities to self-assess their diversity and</w:t>
            </w:r>
            <w:r>
              <w:rPr>
                <w:rFonts w:asciiTheme="minorHAnsi" w:hAnsiTheme="minorHAnsi" w:cs="Arial"/>
                <w:sz w:val="22"/>
                <w:szCs w:val="22"/>
                <w:shd w:val="clear" w:color="auto" w:fill="FFFFFF"/>
              </w:rPr>
              <w:t xml:space="preserve"> </w:t>
            </w:r>
            <w:r w:rsidRPr="00D4416D">
              <w:rPr>
                <w:rFonts w:asciiTheme="minorHAnsi" w:hAnsiTheme="minorHAnsi" w:cs="Arial"/>
                <w:sz w:val="22"/>
                <w:szCs w:val="22"/>
                <w:shd w:val="clear" w:color="auto" w:fill="FFFFFF"/>
              </w:rPr>
              <w:t>inclusion policies and practices and voluntarily share this information with the appropriate</w:t>
            </w:r>
            <w:r>
              <w:rPr>
                <w:rFonts w:asciiTheme="minorHAnsi" w:hAnsiTheme="minorHAnsi" w:cs="Arial"/>
                <w:sz w:val="22"/>
                <w:szCs w:val="22"/>
                <w:shd w:val="clear" w:color="auto" w:fill="FFFFFF"/>
              </w:rPr>
              <w:t xml:space="preserve"> </w:t>
            </w:r>
            <w:r w:rsidRPr="00D4416D">
              <w:rPr>
                <w:rFonts w:asciiTheme="minorHAnsi" w:hAnsiTheme="minorHAnsi" w:cs="Arial"/>
                <w:sz w:val="22"/>
                <w:szCs w:val="22"/>
                <w:shd w:val="clear" w:color="auto" w:fill="FFFFFF"/>
              </w:rPr>
              <w:t>OMWI</w:t>
            </w:r>
            <w:r>
              <w:rPr>
                <w:rFonts w:asciiTheme="minorHAnsi" w:hAnsiTheme="minorHAnsi" w:cs="Arial"/>
                <w:sz w:val="22"/>
                <w:szCs w:val="22"/>
                <w:shd w:val="clear" w:color="auto" w:fill="FFFFFF"/>
              </w:rPr>
              <w:t>.</w:t>
            </w:r>
          </w:p>
        </w:tc>
      </w:tr>
      <w:tr w:rsidR="00D4416D" w:rsidRPr="00967605" w:rsidTr="000C6F62">
        <w:tc>
          <w:tcPr>
            <w:tcW w:w="2283" w:type="dxa"/>
          </w:tcPr>
          <w:p w:rsidR="00D4416D" w:rsidRDefault="005F6C21" w:rsidP="00413996">
            <w:r>
              <w:t>Supervisory Highlights</w:t>
            </w:r>
          </w:p>
        </w:tc>
        <w:tc>
          <w:tcPr>
            <w:tcW w:w="10875" w:type="dxa"/>
          </w:tcPr>
          <w:p w:rsidR="0070652F" w:rsidRDefault="005F6C21"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CFPB</w:t>
            </w:r>
            <w:r w:rsidRPr="005F6C21">
              <w:rPr>
                <w:rFonts w:asciiTheme="minorHAnsi" w:hAnsiTheme="minorHAnsi" w:cs="Arial"/>
                <w:sz w:val="22"/>
                <w:szCs w:val="22"/>
                <w:shd w:val="clear" w:color="auto" w:fill="FFFFFF"/>
              </w:rPr>
              <w:t xml:space="preserve"> has released the Spring 2017 issue of Supervisory Highlights, announcing that its recent supervisory work has found that some student loan and mortgage servicers are violating the law by failing to provide struggling borrowers with legal protections. CFPB examiners found that some student loan servicers failed to refund charges imposed on borrowers who had been wrongly denied the right to defer payments while enrolled in school. The report also found that some mortgage servicers did not deliver the required foreclosure protections to borrowers seeking to save their </w:t>
            </w:r>
            <w:r w:rsidRPr="005F6C21">
              <w:rPr>
                <w:rFonts w:asciiTheme="minorHAnsi" w:hAnsiTheme="minorHAnsi" w:cs="Arial"/>
                <w:sz w:val="22"/>
                <w:szCs w:val="22"/>
                <w:shd w:val="clear" w:color="auto" w:fill="FFFFFF"/>
              </w:rPr>
              <w:lastRenderedPageBreak/>
              <w:t xml:space="preserve">homes, mishandled escrow accounts, and sent incomplete bills. </w:t>
            </w:r>
          </w:p>
          <w:p w:rsidR="0070652F" w:rsidRPr="0070652F" w:rsidRDefault="0070652F" w:rsidP="0070652F"/>
          <w:p w:rsidR="00D4416D" w:rsidRPr="0070652F" w:rsidRDefault="00D4416D" w:rsidP="0070652F"/>
        </w:tc>
      </w:tr>
      <w:tr w:rsidR="00651041" w:rsidRPr="00967605" w:rsidTr="000C6F62">
        <w:tc>
          <w:tcPr>
            <w:tcW w:w="2283" w:type="dxa"/>
          </w:tcPr>
          <w:p w:rsidR="00651041" w:rsidRDefault="00753D11" w:rsidP="00413996">
            <w:r>
              <w:lastRenderedPageBreak/>
              <w:t>Mortgage Industry Webinar</w:t>
            </w:r>
          </w:p>
        </w:tc>
        <w:tc>
          <w:tcPr>
            <w:tcW w:w="10875" w:type="dxa"/>
          </w:tcPr>
          <w:p w:rsidR="00651041" w:rsidRDefault="00FC4C42" w:rsidP="006908CC">
            <w:pPr>
              <w:pStyle w:val="NormalWeb"/>
              <w:spacing w:after="0" w:afterAutospacing="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DFI is hosting an informational webinar covering (</w:t>
            </w:r>
            <w:proofErr w:type="gramStart"/>
            <w:r>
              <w:rPr>
                <w:rFonts w:asciiTheme="minorHAnsi" w:hAnsiTheme="minorHAnsi" w:cs="Arial"/>
                <w:sz w:val="22"/>
                <w:szCs w:val="22"/>
                <w:shd w:val="clear" w:color="auto" w:fill="FFFFFF"/>
              </w:rPr>
              <w:t>1)licensing</w:t>
            </w:r>
            <w:proofErr w:type="gramEnd"/>
            <w:r>
              <w:rPr>
                <w:rFonts w:asciiTheme="minorHAnsi" w:hAnsiTheme="minorHAnsi" w:cs="Arial"/>
                <w:sz w:val="22"/>
                <w:szCs w:val="22"/>
                <w:shd w:val="clear" w:color="auto" w:fill="FFFFFF"/>
              </w:rPr>
              <w:t xml:space="preserve"> update, (2)examination update, (3) enforcement update, and (4) Q&amp;A’s, on May 4, at 1:00 p.m.  </w:t>
            </w:r>
          </w:p>
          <w:p w:rsidR="00FC4C42" w:rsidRDefault="00FC4C42" w:rsidP="00FC4C42">
            <w:pPr>
              <w:pStyle w:val="NormalWeb"/>
              <w:spacing w:before="0" w:beforeAutospacing="0" w:after="0" w:afterAutospacing="0"/>
              <w:rPr>
                <w:rFonts w:asciiTheme="minorHAnsi" w:hAnsiTheme="minorHAnsi" w:cs="Arial"/>
                <w:sz w:val="16"/>
                <w:szCs w:val="16"/>
                <w:shd w:val="clear" w:color="auto" w:fill="FFFFFF"/>
              </w:rPr>
            </w:pPr>
            <w:r w:rsidRPr="00FC4C42">
              <w:rPr>
                <w:rFonts w:asciiTheme="minorHAnsi" w:hAnsiTheme="minorHAnsi" w:cs="Arial"/>
                <w:sz w:val="16"/>
                <w:szCs w:val="16"/>
                <w:shd w:val="clear" w:color="auto" w:fill="FFFFFF"/>
              </w:rPr>
              <w:t xml:space="preserve">1. Go to </w:t>
            </w:r>
            <w:hyperlink r:id="rId13" w:history="1">
              <w:r w:rsidRPr="00FA7219">
                <w:rPr>
                  <w:rStyle w:val="Hyperlink"/>
                  <w:rFonts w:asciiTheme="minorHAnsi" w:hAnsiTheme="minorHAnsi" w:cs="Arial"/>
                  <w:sz w:val="16"/>
                  <w:szCs w:val="16"/>
                  <w:shd w:val="clear" w:color="auto" w:fill="FFFFFF"/>
                </w:rPr>
                <w:t>https://wadismeetings.webex.com/wadismeetings/j.php?MTID=mfe4bece1dbaadd133006646d125dd81c</w:t>
              </w:r>
            </w:hyperlink>
          </w:p>
          <w:p w:rsidR="00FC4C42" w:rsidRPr="00FC4C42" w:rsidRDefault="00FC4C42" w:rsidP="00FC4C42">
            <w:pPr>
              <w:pStyle w:val="NormalWeb"/>
              <w:spacing w:before="0" w:beforeAutospacing="0" w:after="0" w:afterAutospacing="0"/>
              <w:rPr>
                <w:rFonts w:asciiTheme="minorHAnsi" w:hAnsiTheme="minorHAnsi" w:cs="Arial"/>
                <w:sz w:val="16"/>
                <w:szCs w:val="16"/>
                <w:shd w:val="clear" w:color="auto" w:fill="FFFFFF"/>
              </w:rPr>
            </w:pPr>
            <w:r w:rsidRPr="00FC4C42">
              <w:rPr>
                <w:rFonts w:asciiTheme="minorHAnsi" w:hAnsiTheme="minorHAnsi" w:cs="Arial"/>
                <w:sz w:val="16"/>
                <w:szCs w:val="16"/>
                <w:shd w:val="clear" w:color="auto" w:fill="FFFFFF"/>
              </w:rPr>
              <w:t xml:space="preserve">2. If requested, enter your name and email address. </w:t>
            </w:r>
          </w:p>
          <w:p w:rsidR="00FC4C42" w:rsidRDefault="00FC4C42" w:rsidP="00FC4C42">
            <w:pPr>
              <w:pStyle w:val="NormalWeb"/>
              <w:spacing w:before="0" w:beforeAutospacing="0" w:after="0" w:afterAutospacing="0"/>
              <w:rPr>
                <w:rFonts w:asciiTheme="minorHAnsi" w:hAnsiTheme="minorHAnsi" w:cs="Arial"/>
                <w:sz w:val="22"/>
                <w:szCs w:val="22"/>
                <w:shd w:val="clear" w:color="auto" w:fill="FFFFFF"/>
              </w:rPr>
            </w:pPr>
            <w:r w:rsidRPr="00FC4C42">
              <w:rPr>
                <w:rFonts w:asciiTheme="minorHAnsi" w:hAnsiTheme="minorHAnsi" w:cs="Arial"/>
                <w:sz w:val="16"/>
                <w:szCs w:val="16"/>
                <w:shd w:val="clear" w:color="auto" w:fill="FFFFFF"/>
              </w:rPr>
              <w:t>3. If a password is required, enter the meeting password: May42017</w:t>
            </w:r>
          </w:p>
        </w:tc>
      </w:tr>
      <w:tr w:rsidR="00957814" w:rsidRPr="00967605" w:rsidTr="000C6F62">
        <w:tc>
          <w:tcPr>
            <w:tcW w:w="2283" w:type="dxa"/>
          </w:tcPr>
          <w:p w:rsidR="00957814" w:rsidRDefault="00CC43EC" w:rsidP="00413996">
            <w:hyperlink r:id="rId14" w:history="1">
              <w:r w:rsidRPr="00CC43EC">
                <w:rPr>
                  <w:rStyle w:val="Hyperlink"/>
                </w:rPr>
                <w:t>CECL Resources</w:t>
              </w:r>
            </w:hyperlink>
          </w:p>
        </w:tc>
        <w:tc>
          <w:tcPr>
            <w:tcW w:w="10875" w:type="dxa"/>
          </w:tcPr>
          <w:p w:rsidR="00957814" w:rsidRDefault="00CC43EC" w:rsidP="00CC43EC">
            <w:pPr>
              <w:pStyle w:val="NormalWeb"/>
              <w:spacing w:after="0"/>
              <w:rPr>
                <w:rFonts w:asciiTheme="minorHAnsi" w:hAnsiTheme="minorHAnsi" w:cs="Arial"/>
                <w:sz w:val="22"/>
                <w:szCs w:val="22"/>
                <w:shd w:val="clear" w:color="auto" w:fill="FFFFFF"/>
              </w:rPr>
            </w:pPr>
            <w:r w:rsidRPr="00CC43EC">
              <w:rPr>
                <w:rFonts w:asciiTheme="minorHAnsi" w:hAnsiTheme="minorHAnsi" w:cs="Arial"/>
                <w:sz w:val="22"/>
                <w:szCs w:val="22"/>
                <w:shd w:val="clear" w:color="auto" w:fill="FFFFFF"/>
              </w:rPr>
              <w:t>A newly released, NAFCU-sponsored study outlines some of the key qualities and trade-offs for a variety of models for implementation of the Financial Accounting Standards Board’s current expected credit loss accounting standard, which starts taking effect for credit unions in fiscal years</w:t>
            </w:r>
            <w:r>
              <w:rPr>
                <w:rFonts w:asciiTheme="minorHAnsi" w:hAnsiTheme="minorHAnsi" w:cs="Arial"/>
                <w:sz w:val="22"/>
                <w:szCs w:val="22"/>
                <w:shd w:val="clear" w:color="auto" w:fill="FFFFFF"/>
              </w:rPr>
              <w:t xml:space="preserve"> beginning after Dec. 15, 2020.  </w:t>
            </w:r>
            <w:r w:rsidRPr="00CC43EC">
              <w:rPr>
                <w:rFonts w:asciiTheme="minorHAnsi" w:hAnsiTheme="minorHAnsi" w:cs="Arial"/>
                <w:sz w:val="22"/>
                <w:szCs w:val="22"/>
                <w:shd w:val="clear" w:color="auto" w:fill="FFFFFF"/>
              </w:rPr>
              <w:t>Accessing the study requires you to provide your contact information, but you do not need to be a member of NAFCU.  (I would assume that you will receive emails touting their products if you request the study.)</w:t>
            </w:r>
          </w:p>
        </w:tc>
      </w:tr>
      <w:tr w:rsidR="00152E97" w:rsidRPr="00967605" w:rsidTr="000C6F62">
        <w:tc>
          <w:tcPr>
            <w:tcW w:w="2283" w:type="dxa"/>
          </w:tcPr>
          <w:p w:rsidR="00152E97" w:rsidRDefault="00CC43EC" w:rsidP="00413996">
            <w:hyperlink r:id="rId15" w:history="1">
              <w:r w:rsidRPr="00CC43EC">
                <w:rPr>
                  <w:rStyle w:val="Hyperlink"/>
                </w:rPr>
                <w:t>Same Day ACH</w:t>
              </w:r>
            </w:hyperlink>
            <w:r>
              <w:t xml:space="preserve"> </w:t>
            </w:r>
          </w:p>
        </w:tc>
        <w:tc>
          <w:tcPr>
            <w:tcW w:w="10875" w:type="dxa"/>
          </w:tcPr>
          <w:p w:rsidR="00152E97" w:rsidRDefault="00CC43EC" w:rsidP="006908CC">
            <w:pPr>
              <w:pStyle w:val="NormalWeb"/>
              <w:spacing w:after="0"/>
              <w:rPr>
                <w:rFonts w:asciiTheme="minorHAnsi" w:hAnsiTheme="minorHAnsi" w:cs="Arial"/>
                <w:sz w:val="22"/>
                <w:szCs w:val="22"/>
                <w:shd w:val="clear" w:color="auto" w:fill="FFFFFF"/>
              </w:rPr>
            </w:pPr>
            <w:r w:rsidRPr="00CC43EC">
              <w:rPr>
                <w:rFonts w:asciiTheme="minorHAnsi" w:hAnsiTheme="minorHAnsi" w:cs="Arial"/>
                <w:sz w:val="22"/>
                <w:szCs w:val="22"/>
                <w:shd w:val="clear" w:color="auto" w:fill="FFFFFF"/>
              </w:rPr>
              <w:t>ACH debits become eligible for same-day settlement with the implementation of Same Day ACH Phase 2 on Sept. 15, 2017. This ACH Operations Bulletin provides information to Originating and Receiving Depository Financial Institutions, Originators, Third-Party Senders, and software and processing vendors on important aspects of ACH debit processing in a same-day environment. Even those not planning to use same-day processing for ACH debits should take reasonable care to prevent unintentional same-day ACH debits.</w:t>
            </w:r>
          </w:p>
        </w:tc>
      </w:tr>
      <w:tr w:rsidR="00CC43EC" w:rsidRPr="00967605" w:rsidTr="000C6F62">
        <w:tc>
          <w:tcPr>
            <w:tcW w:w="2283" w:type="dxa"/>
          </w:tcPr>
          <w:p w:rsidR="00CC43EC" w:rsidRDefault="00CC43EC" w:rsidP="00413996">
            <w:hyperlink r:id="rId16" w:history="1">
              <w:r w:rsidRPr="00CC43EC">
                <w:rPr>
                  <w:rStyle w:val="Hyperlink"/>
                </w:rPr>
                <w:t>CFPB Fair Lending Report</w:t>
              </w:r>
            </w:hyperlink>
          </w:p>
        </w:tc>
        <w:tc>
          <w:tcPr>
            <w:tcW w:w="10875" w:type="dxa"/>
          </w:tcPr>
          <w:p w:rsidR="00CC43EC" w:rsidRDefault="00CC43EC" w:rsidP="006908CC">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 CFPB released its 5</w:t>
            </w:r>
            <w:r w:rsidRPr="00CC43EC">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Fair Lending Report, which includes actions taken in 2016, and additional focus in 2017 on redlining, </w:t>
            </w:r>
            <w:r w:rsidR="003632A8">
              <w:rPr>
                <w:rFonts w:asciiTheme="minorHAnsi" w:hAnsiTheme="minorHAnsi" w:cs="Arial"/>
                <w:sz w:val="22"/>
                <w:szCs w:val="22"/>
                <w:shd w:val="clear" w:color="auto" w:fill="FFFFFF"/>
              </w:rPr>
              <w:t xml:space="preserve">mortgage and student loan servicing, and small business lending.  </w:t>
            </w:r>
          </w:p>
        </w:tc>
      </w:tr>
      <w:tr w:rsidR="00CC43EC" w:rsidRPr="00967605" w:rsidTr="000C6F62">
        <w:tc>
          <w:tcPr>
            <w:tcW w:w="2283" w:type="dxa"/>
          </w:tcPr>
          <w:p w:rsidR="00CC43EC" w:rsidRDefault="008E28CB" w:rsidP="00413996">
            <w:hyperlink r:id="rId17" w:history="1">
              <w:r w:rsidRPr="008E28CB">
                <w:rPr>
                  <w:rStyle w:val="Hyperlink"/>
                </w:rPr>
                <w:t>Effective Board Meetings</w:t>
              </w:r>
            </w:hyperlink>
          </w:p>
        </w:tc>
        <w:tc>
          <w:tcPr>
            <w:tcW w:w="10875" w:type="dxa"/>
          </w:tcPr>
          <w:p w:rsidR="00CC43EC" w:rsidRDefault="008E28CB" w:rsidP="008E28CB">
            <w:pPr>
              <w:pStyle w:val="NormalWeb"/>
              <w:spacing w:after="0"/>
              <w:rPr>
                <w:rFonts w:asciiTheme="minorHAnsi" w:hAnsiTheme="minorHAnsi" w:cs="Arial"/>
                <w:sz w:val="22"/>
                <w:szCs w:val="22"/>
                <w:shd w:val="clear" w:color="auto" w:fill="FFFFFF"/>
              </w:rPr>
            </w:pPr>
            <w:r w:rsidRPr="008E28CB">
              <w:rPr>
                <w:rFonts w:asciiTheme="minorHAnsi" w:hAnsiTheme="minorHAnsi" w:cs="Arial"/>
                <w:sz w:val="22"/>
                <w:szCs w:val="22"/>
                <w:shd w:val="clear" w:color="auto" w:fill="FFFFFF"/>
              </w:rPr>
              <w:t>The National Credit Union Administration today released its new video series, “Effective Board Meetings,” aimed at helping credit union directors make the best use of their meetings.</w:t>
            </w:r>
            <w:r>
              <w:rPr>
                <w:rFonts w:asciiTheme="minorHAnsi" w:hAnsiTheme="minorHAnsi" w:cs="Arial"/>
                <w:sz w:val="22"/>
                <w:szCs w:val="22"/>
                <w:shd w:val="clear" w:color="auto" w:fill="FFFFFF"/>
              </w:rPr>
              <w:t xml:space="preserve">  </w:t>
            </w:r>
            <w:r w:rsidRPr="008E28CB">
              <w:rPr>
                <w:rFonts w:asciiTheme="minorHAnsi" w:hAnsiTheme="minorHAnsi" w:cs="Arial"/>
                <w:sz w:val="22"/>
                <w:szCs w:val="22"/>
                <w:shd w:val="clear" w:color="auto" w:fill="FFFFFF"/>
              </w:rPr>
              <w:t>This four-part series features different examples of well-run and poorly run board meetings. It also provides helpful tips on how to run constructive meetings and create an environment that engages a credit union’s board members.</w:t>
            </w:r>
          </w:p>
        </w:tc>
      </w:tr>
      <w:tr w:rsidR="00B0179F" w:rsidRPr="00967605" w:rsidTr="000C6F62">
        <w:tc>
          <w:tcPr>
            <w:tcW w:w="2283" w:type="dxa"/>
          </w:tcPr>
          <w:p w:rsidR="00B0179F" w:rsidRDefault="00B0179F" w:rsidP="00413996">
            <w:hyperlink r:id="rId18" w:history="1">
              <w:r w:rsidRPr="00B0179F">
                <w:rPr>
                  <w:rStyle w:val="Hyperlink"/>
                </w:rPr>
                <w:t>NCUA SL 17-01 Updated Compliance Risk Indicators</w:t>
              </w:r>
            </w:hyperlink>
          </w:p>
        </w:tc>
        <w:tc>
          <w:tcPr>
            <w:tcW w:w="10875" w:type="dxa"/>
          </w:tcPr>
          <w:p w:rsidR="00B0179F" w:rsidRPr="008E28CB" w:rsidRDefault="00871704" w:rsidP="008E28CB">
            <w:pPr>
              <w:pStyle w:val="NormalWeb"/>
              <w:spacing w:after="0"/>
              <w:rPr>
                <w:rFonts w:asciiTheme="minorHAnsi" w:hAnsiTheme="minorHAnsi" w:cs="Arial"/>
                <w:sz w:val="22"/>
                <w:szCs w:val="22"/>
                <w:shd w:val="clear" w:color="auto" w:fill="FFFFFF"/>
              </w:rPr>
            </w:pPr>
            <w:r w:rsidRPr="00871704">
              <w:rPr>
                <w:rFonts w:asciiTheme="minorHAnsi" w:hAnsiTheme="minorHAnsi" w:cs="Arial"/>
                <w:sz w:val="22"/>
                <w:szCs w:val="22"/>
                <w:shd w:val="clear" w:color="auto" w:fill="FFFFFF"/>
              </w:rPr>
              <w:t>On March 29, 2017, NCUA released a supervisory letter in a Letter to Credit Unions (17-CU-02) that provides an updated list of Compliance Risk Indicators. The updated list builds upon the previous guidance issued in a 2002 Letter to Credit Unions. NCUA notes that the “updated list of indicators does not impose any new or higher supervisory expectations to credit unions.” The updated list of Compliance Risk Indicators took effect on March 31, 2017.</w:t>
            </w:r>
          </w:p>
        </w:tc>
      </w:tr>
    </w:tbl>
    <w:p w:rsidR="006A2918" w:rsidRDefault="006A2918" w:rsidP="00D1188B"/>
    <w:tbl>
      <w:tblPr>
        <w:tblStyle w:val="TableGrid"/>
        <w:tblW w:w="13078" w:type="dxa"/>
        <w:tblLook w:val="04A0" w:firstRow="1" w:lastRow="0" w:firstColumn="1" w:lastColumn="0" w:noHBand="0" w:noVBand="1"/>
      </w:tblPr>
      <w:tblGrid>
        <w:gridCol w:w="2172"/>
        <w:gridCol w:w="6545"/>
        <w:gridCol w:w="4361"/>
      </w:tblGrid>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3F6BB7">
              <w:rPr>
                <w:color w:val="FFFFFF" w:themeColor="background1"/>
              </w:rPr>
              <w:t>Oregon</w:t>
            </w:r>
          </w:p>
        </w:tc>
      </w:tr>
      <w:tr w:rsidR="00DB5E19" w:rsidTr="006A2918">
        <w:trPr>
          <w:trHeight w:val="944"/>
        </w:trPr>
        <w:tc>
          <w:tcPr>
            <w:tcW w:w="2172" w:type="dxa"/>
          </w:tcPr>
          <w:p w:rsidR="00DB5E19" w:rsidRDefault="00B0179F" w:rsidP="006A2918">
            <w:pPr>
              <w:keepLines/>
            </w:pPr>
            <w:hyperlink r:id="rId19" w:history="1">
              <w:r w:rsidR="00DB5E19" w:rsidRPr="00DB5E19">
                <w:rPr>
                  <w:rStyle w:val="Hyperlink"/>
                </w:rPr>
                <w:t>HB 2</w:t>
              </w:r>
              <w:r w:rsidR="00DB5E19" w:rsidRPr="00DB5E19">
                <w:rPr>
                  <w:rStyle w:val="Hyperlink"/>
                </w:rPr>
                <w:t>5</w:t>
              </w:r>
              <w:r w:rsidR="00DB5E19" w:rsidRPr="00DB5E19">
                <w:rPr>
                  <w:rStyle w:val="Hyperlink"/>
                </w:rPr>
                <w:t>8</w:t>
              </w:r>
              <w:r w:rsidR="00DB5E19" w:rsidRPr="00DB5E19">
                <w:rPr>
                  <w:rStyle w:val="Hyperlink"/>
                </w:rPr>
                <w:t>1</w:t>
              </w:r>
            </w:hyperlink>
          </w:p>
        </w:tc>
        <w:tc>
          <w:tcPr>
            <w:tcW w:w="6545" w:type="dxa"/>
          </w:tcPr>
          <w:p w:rsidR="00DB5E19" w:rsidRPr="006A2918" w:rsidRDefault="00DB5E19" w:rsidP="006A2918">
            <w:pPr>
              <w:keepLines/>
            </w:pPr>
            <w:r>
              <w:t>W</w:t>
            </w:r>
            <w:r w:rsidRPr="00DB5E19">
              <w:t>ould require a person that possesses or has access to account information to report breach of security to the financial institution that issued financial access device.  Person includes:  an individual, a private or public corporation, partnership, cooperative, association, estate, limited liability company, organization or other entity.</w:t>
            </w:r>
          </w:p>
        </w:tc>
        <w:tc>
          <w:tcPr>
            <w:tcW w:w="4361" w:type="dxa"/>
          </w:tcPr>
          <w:p w:rsidR="00C56584" w:rsidRDefault="00C56584" w:rsidP="006A2918">
            <w:pPr>
              <w:keepLines/>
            </w:pPr>
            <w:r>
              <w:t>Public hearing held (3/27)</w:t>
            </w:r>
          </w:p>
        </w:tc>
      </w:tr>
      <w:tr w:rsidR="006A2918" w:rsidTr="006A2918">
        <w:trPr>
          <w:trHeight w:val="944"/>
        </w:trPr>
        <w:tc>
          <w:tcPr>
            <w:tcW w:w="2172" w:type="dxa"/>
          </w:tcPr>
          <w:p w:rsidR="006A2918" w:rsidRDefault="00B0179F" w:rsidP="006A2918">
            <w:pPr>
              <w:keepLines/>
            </w:pPr>
            <w:hyperlink r:id="rId20" w:history="1">
              <w:r w:rsidR="006A2918" w:rsidRPr="006A2918">
                <w:rPr>
                  <w:rStyle w:val="Hyperlink"/>
                </w:rPr>
                <w:t>H</w:t>
              </w:r>
              <w:r w:rsidR="006A2918" w:rsidRPr="006A2918">
                <w:rPr>
                  <w:rStyle w:val="Hyperlink"/>
                </w:rPr>
                <w:t>B</w:t>
              </w:r>
              <w:r w:rsidR="006A2918" w:rsidRPr="006A2918">
                <w:rPr>
                  <w:rStyle w:val="Hyperlink"/>
                </w:rPr>
                <w:t xml:space="preserve"> </w:t>
              </w:r>
              <w:r w:rsidR="006A2918" w:rsidRPr="006A2918">
                <w:rPr>
                  <w:rStyle w:val="Hyperlink"/>
                </w:rPr>
                <w:t>2</w:t>
              </w:r>
              <w:r w:rsidR="006A2918" w:rsidRPr="006A2918">
                <w:rPr>
                  <w:rStyle w:val="Hyperlink"/>
                </w:rPr>
                <w:t>161</w:t>
              </w:r>
            </w:hyperlink>
          </w:p>
        </w:tc>
        <w:tc>
          <w:tcPr>
            <w:tcW w:w="6545" w:type="dxa"/>
          </w:tcPr>
          <w:p w:rsidR="006A2918" w:rsidRPr="000014AF" w:rsidRDefault="006A2918" w:rsidP="006A2918">
            <w:pPr>
              <w:keepLines/>
            </w:pPr>
            <w:r w:rsidRPr="006A2918">
              <w:t>Included in the Bill are a provision allowing the expulsion of a member that creates undue risk of loss, the elimination of the requirement that the credit union’s board of directors meets 10 times a year, and changes the date for exercise by state credit unions of powers available to federal credit unions without director approval to January 1, 2017, from January 1, 2013.</w:t>
            </w:r>
          </w:p>
        </w:tc>
        <w:tc>
          <w:tcPr>
            <w:tcW w:w="4361" w:type="dxa"/>
          </w:tcPr>
          <w:p w:rsidR="00C56584" w:rsidRDefault="00D84E99" w:rsidP="006A2918">
            <w:pPr>
              <w:keepLines/>
            </w:pPr>
            <w:r>
              <w:t xml:space="preserve">Passed House, </w:t>
            </w:r>
          </w:p>
          <w:p w:rsidR="006A2918" w:rsidRDefault="00C56584" w:rsidP="006A2918">
            <w:pPr>
              <w:keepLines/>
            </w:pPr>
            <w:r>
              <w:t>public hearing and work session held in Senate (4/26)</w:t>
            </w:r>
          </w:p>
        </w:tc>
      </w:tr>
      <w:tr w:rsidR="00F517EF" w:rsidTr="006A2918">
        <w:trPr>
          <w:trHeight w:val="944"/>
        </w:trPr>
        <w:tc>
          <w:tcPr>
            <w:tcW w:w="2172" w:type="dxa"/>
          </w:tcPr>
          <w:p w:rsidR="00F517EF" w:rsidRDefault="00B0179F" w:rsidP="006A2918">
            <w:pPr>
              <w:keepLines/>
            </w:pPr>
            <w:hyperlink r:id="rId21" w:history="1">
              <w:r w:rsidR="00F517EF" w:rsidRPr="000014AF">
                <w:rPr>
                  <w:rStyle w:val="Hyperlink"/>
                </w:rPr>
                <w:t xml:space="preserve">HB </w:t>
              </w:r>
              <w:r w:rsidR="00F517EF" w:rsidRPr="000014AF">
                <w:rPr>
                  <w:rStyle w:val="Hyperlink"/>
                </w:rPr>
                <w:t>2</w:t>
              </w:r>
              <w:r w:rsidR="00F517EF" w:rsidRPr="000014AF">
                <w:rPr>
                  <w:rStyle w:val="Hyperlink"/>
                </w:rPr>
                <w:t>359</w:t>
              </w:r>
            </w:hyperlink>
          </w:p>
        </w:tc>
        <w:tc>
          <w:tcPr>
            <w:tcW w:w="6545" w:type="dxa"/>
          </w:tcPr>
          <w:p w:rsidR="00F517EF" w:rsidRDefault="00F517EF" w:rsidP="006A2918">
            <w:pPr>
              <w:keepLines/>
            </w:pPr>
            <w:r w:rsidRPr="000014AF">
              <w:t>Removes requirement for beneficiary in trust deed to send, and Attorney General to receive, copy of notice that beneficiary has denied grantor's eligibility for foreclosure avoidance measure.</w:t>
            </w:r>
          </w:p>
        </w:tc>
        <w:tc>
          <w:tcPr>
            <w:tcW w:w="4361" w:type="dxa"/>
          </w:tcPr>
          <w:p w:rsidR="00F517EF" w:rsidRDefault="00C56584" w:rsidP="006A2918">
            <w:pPr>
              <w:keepLines/>
            </w:pPr>
            <w:r>
              <w:t>Passed House,</w:t>
            </w:r>
          </w:p>
          <w:p w:rsidR="00C56584" w:rsidRDefault="00C56584" w:rsidP="006A2918">
            <w:pPr>
              <w:keepLines/>
            </w:pPr>
            <w:r>
              <w:t>Referred to Business and Transportation (3/8)</w:t>
            </w:r>
          </w:p>
        </w:tc>
      </w:tr>
      <w:tr w:rsidR="00F517EF" w:rsidTr="006A2918">
        <w:trPr>
          <w:trHeight w:val="236"/>
        </w:trPr>
        <w:tc>
          <w:tcPr>
            <w:tcW w:w="2172" w:type="dxa"/>
          </w:tcPr>
          <w:p w:rsidR="00F517EF" w:rsidRDefault="00B0179F" w:rsidP="006A2918">
            <w:pPr>
              <w:keepLines/>
            </w:pPr>
            <w:hyperlink r:id="rId22" w:history="1">
              <w:r w:rsidR="00F517EF" w:rsidRPr="000014AF">
                <w:rPr>
                  <w:rStyle w:val="Hyperlink"/>
                </w:rPr>
                <w:t>HB 2</w:t>
              </w:r>
              <w:r w:rsidR="00F517EF" w:rsidRPr="000014AF">
                <w:rPr>
                  <w:rStyle w:val="Hyperlink"/>
                </w:rPr>
                <w:t>6</w:t>
              </w:r>
              <w:r w:rsidR="00F517EF" w:rsidRPr="000014AF">
                <w:rPr>
                  <w:rStyle w:val="Hyperlink"/>
                </w:rPr>
                <w:t>24</w:t>
              </w:r>
            </w:hyperlink>
          </w:p>
        </w:tc>
        <w:tc>
          <w:tcPr>
            <w:tcW w:w="6545" w:type="dxa"/>
          </w:tcPr>
          <w:p w:rsidR="00F517EF" w:rsidRDefault="00F517EF" w:rsidP="006A2918">
            <w:pPr>
              <w:keepLines/>
            </w:pPr>
            <w:r w:rsidRPr="000014AF">
              <w:t>Exempts out-of-state banks, extranational institutions and foreign associations from requirement to file notice before dealing in notes secured by mortgages or trust deeds, if authorized to conduct banking business in this state by certificate of Department of Consumer and Business Services.</w:t>
            </w:r>
          </w:p>
        </w:tc>
        <w:tc>
          <w:tcPr>
            <w:tcW w:w="4361" w:type="dxa"/>
          </w:tcPr>
          <w:p w:rsidR="00F517EF" w:rsidRDefault="00C56584" w:rsidP="006A2918">
            <w:pPr>
              <w:keepLines/>
            </w:pPr>
            <w:r>
              <w:t>Passed House,</w:t>
            </w:r>
          </w:p>
          <w:p w:rsidR="00C56584" w:rsidRDefault="00C56584" w:rsidP="006A2918">
            <w:pPr>
              <w:keepLines/>
            </w:pPr>
            <w:r>
              <w:t>Referred to Business and Transportation (3/13)</w:t>
            </w:r>
          </w:p>
        </w:tc>
      </w:tr>
      <w:tr w:rsidR="00F517EF" w:rsidTr="006A2918">
        <w:trPr>
          <w:trHeight w:val="242"/>
        </w:trPr>
        <w:tc>
          <w:tcPr>
            <w:tcW w:w="2172" w:type="dxa"/>
          </w:tcPr>
          <w:p w:rsidR="00F517EF" w:rsidRDefault="00B0179F" w:rsidP="006A2918">
            <w:pPr>
              <w:keepLines/>
            </w:pPr>
            <w:hyperlink r:id="rId23" w:history="1">
              <w:r w:rsidR="00F517EF" w:rsidRPr="000014AF">
                <w:rPr>
                  <w:rStyle w:val="Hyperlink"/>
                </w:rPr>
                <w:t>HB 26</w:t>
              </w:r>
              <w:r w:rsidR="00F517EF" w:rsidRPr="000014AF">
                <w:rPr>
                  <w:rStyle w:val="Hyperlink"/>
                </w:rPr>
                <w:t>2</w:t>
              </w:r>
              <w:r w:rsidR="00F517EF" w:rsidRPr="000014AF">
                <w:rPr>
                  <w:rStyle w:val="Hyperlink"/>
                </w:rPr>
                <w:t>2</w:t>
              </w:r>
            </w:hyperlink>
          </w:p>
        </w:tc>
        <w:tc>
          <w:tcPr>
            <w:tcW w:w="6545" w:type="dxa"/>
          </w:tcPr>
          <w:p w:rsidR="00F517EF" w:rsidRDefault="00F517EF" w:rsidP="006A2918">
            <w:pPr>
              <w:keepLines/>
            </w:pPr>
            <w:r w:rsidRPr="000014AF">
              <w:t>Authorizes financial institution to refuse certain financial transactions when financial institution reasonably believes financial exploitation of vulnerable person may have occurred, may have been attempted or is being attempted.</w:t>
            </w:r>
          </w:p>
        </w:tc>
        <w:tc>
          <w:tcPr>
            <w:tcW w:w="4361" w:type="dxa"/>
          </w:tcPr>
          <w:p w:rsidR="00F517EF" w:rsidRDefault="005958A6" w:rsidP="006A2918">
            <w:pPr>
              <w:keepLines/>
            </w:pPr>
            <w:r w:rsidRPr="00C56584">
              <w:t>A-Engrossed</w:t>
            </w:r>
            <w:r>
              <w:t xml:space="preserve"> passed House,</w:t>
            </w:r>
          </w:p>
          <w:p w:rsidR="005958A6" w:rsidRDefault="00C56584" w:rsidP="006A2918">
            <w:pPr>
              <w:keepLines/>
            </w:pPr>
            <w:r>
              <w:t>Referred to Judiciary (4/27)</w:t>
            </w:r>
          </w:p>
        </w:tc>
      </w:tr>
      <w:tr w:rsidR="00F517EF" w:rsidTr="006A2918">
        <w:trPr>
          <w:trHeight w:val="236"/>
        </w:trPr>
        <w:tc>
          <w:tcPr>
            <w:tcW w:w="2172" w:type="dxa"/>
          </w:tcPr>
          <w:p w:rsidR="00F517EF" w:rsidRDefault="00B0179F" w:rsidP="006A2918">
            <w:pPr>
              <w:keepLines/>
            </w:pPr>
            <w:hyperlink r:id="rId24" w:history="1">
              <w:r w:rsidR="00F517EF" w:rsidRPr="000014AF">
                <w:rPr>
                  <w:rStyle w:val="Hyperlink"/>
                </w:rPr>
                <w:t>HB 2</w:t>
              </w:r>
              <w:r w:rsidR="00F517EF" w:rsidRPr="000014AF">
                <w:rPr>
                  <w:rStyle w:val="Hyperlink"/>
                </w:rPr>
                <w:t>2</w:t>
              </w:r>
              <w:r w:rsidR="00F517EF" w:rsidRPr="000014AF">
                <w:rPr>
                  <w:rStyle w:val="Hyperlink"/>
                </w:rPr>
                <w:t>29</w:t>
              </w:r>
            </w:hyperlink>
          </w:p>
        </w:tc>
        <w:tc>
          <w:tcPr>
            <w:tcW w:w="6545" w:type="dxa"/>
          </w:tcPr>
          <w:p w:rsidR="00F517EF" w:rsidRDefault="00F517EF" w:rsidP="006A2918">
            <w:pPr>
              <w:keepLines/>
            </w:pPr>
            <w:r w:rsidRPr="000014AF">
              <w:t>Requires school districts to offer instruction in financial literacy.</w:t>
            </w:r>
          </w:p>
        </w:tc>
        <w:tc>
          <w:tcPr>
            <w:tcW w:w="4361" w:type="dxa"/>
          </w:tcPr>
          <w:p w:rsidR="00F517EF" w:rsidRDefault="00C56584" w:rsidP="006A2918">
            <w:pPr>
              <w:keepLines/>
            </w:pPr>
            <w:r>
              <w:t>A-Engrossed passed House,</w:t>
            </w:r>
          </w:p>
          <w:p w:rsidR="00C56584" w:rsidRDefault="00C56584" w:rsidP="006A2918">
            <w:pPr>
              <w:keepLines/>
            </w:pPr>
            <w:r>
              <w:t>Referred to Education (3/13)</w:t>
            </w:r>
          </w:p>
        </w:tc>
      </w:tr>
      <w:tr w:rsidR="00F517EF" w:rsidTr="006A2918">
        <w:trPr>
          <w:trHeight w:val="236"/>
        </w:trPr>
        <w:tc>
          <w:tcPr>
            <w:tcW w:w="2172" w:type="dxa"/>
          </w:tcPr>
          <w:p w:rsidR="00F517EF" w:rsidRDefault="00B0179F" w:rsidP="006A2918">
            <w:pPr>
              <w:keepLines/>
            </w:pPr>
            <w:hyperlink r:id="rId25" w:history="1">
              <w:r w:rsidR="00F517EF" w:rsidRPr="00B90741">
                <w:rPr>
                  <w:rStyle w:val="Hyperlink"/>
                </w:rPr>
                <w:t>H</w:t>
              </w:r>
              <w:r w:rsidR="00F517EF" w:rsidRPr="00B90741">
                <w:rPr>
                  <w:rStyle w:val="Hyperlink"/>
                </w:rPr>
                <w:t>B</w:t>
              </w:r>
              <w:r w:rsidR="00F517EF" w:rsidRPr="00B90741">
                <w:rPr>
                  <w:rStyle w:val="Hyperlink"/>
                </w:rPr>
                <w:t xml:space="preserve"> 2346</w:t>
              </w:r>
            </w:hyperlink>
          </w:p>
        </w:tc>
        <w:tc>
          <w:tcPr>
            <w:tcW w:w="6545" w:type="dxa"/>
          </w:tcPr>
          <w:p w:rsidR="00F517EF" w:rsidRDefault="00F517EF" w:rsidP="006A2918">
            <w:pPr>
              <w:keepLines/>
            </w:pPr>
            <w:r w:rsidRPr="00B90741">
              <w:t>Directs insured institution or credit union to accept declaration rather than affidavit from Department of Human Services or Oregon Health Authority to pay claim on death of depositor.</w:t>
            </w:r>
          </w:p>
        </w:tc>
        <w:tc>
          <w:tcPr>
            <w:tcW w:w="4361" w:type="dxa"/>
          </w:tcPr>
          <w:p w:rsidR="00F517EF" w:rsidRDefault="00C56584" w:rsidP="006A2918">
            <w:pPr>
              <w:keepLines/>
            </w:pPr>
            <w:r>
              <w:t>A-Engrossed passed House</w:t>
            </w:r>
          </w:p>
          <w:p w:rsidR="00C56584" w:rsidRDefault="00C56584" w:rsidP="006A2918">
            <w:pPr>
              <w:keepLines/>
            </w:pPr>
            <w:r>
              <w:t>Referred to Business and Transportation (4/26)</w:t>
            </w:r>
          </w:p>
        </w:tc>
      </w:tr>
      <w:tr w:rsidR="00B975E7" w:rsidTr="006A2918">
        <w:trPr>
          <w:trHeight w:val="236"/>
        </w:trPr>
        <w:tc>
          <w:tcPr>
            <w:tcW w:w="2172" w:type="dxa"/>
          </w:tcPr>
          <w:p w:rsidR="00B975E7" w:rsidRDefault="00B0179F" w:rsidP="006A2918">
            <w:pPr>
              <w:keepLines/>
            </w:pPr>
            <w:hyperlink r:id="rId26" w:history="1">
              <w:r w:rsidR="00B975E7" w:rsidRPr="00B975E7">
                <w:rPr>
                  <w:rStyle w:val="Hyperlink"/>
                </w:rPr>
                <w:t>S</w:t>
              </w:r>
              <w:r w:rsidR="00B975E7" w:rsidRPr="00B975E7">
                <w:rPr>
                  <w:rStyle w:val="Hyperlink"/>
                </w:rPr>
                <w:t>B</w:t>
              </w:r>
              <w:r w:rsidR="00B975E7" w:rsidRPr="00B975E7">
                <w:rPr>
                  <w:rStyle w:val="Hyperlink"/>
                </w:rPr>
                <w:t xml:space="preserve"> 113</w:t>
              </w:r>
            </w:hyperlink>
          </w:p>
        </w:tc>
        <w:tc>
          <w:tcPr>
            <w:tcW w:w="6545" w:type="dxa"/>
          </w:tcPr>
          <w:p w:rsidR="00B975E7" w:rsidRPr="00B975E7" w:rsidRDefault="00B975E7" w:rsidP="006A2918">
            <w:pPr>
              <w:keepLines/>
            </w:pPr>
            <w:r w:rsidRPr="00B975E7">
              <w:t>Provides that person identified in gift card as providing goods or services shall transfer to Department of State Lands remaining balance of gift card that cardholder has not used within five years after date of last transaction that used gift card for purchase.</w:t>
            </w:r>
          </w:p>
        </w:tc>
        <w:tc>
          <w:tcPr>
            <w:tcW w:w="4361" w:type="dxa"/>
          </w:tcPr>
          <w:p w:rsidR="00B975E7" w:rsidRDefault="00C56584" w:rsidP="006A2918">
            <w:pPr>
              <w:keepLines/>
            </w:pPr>
            <w:r>
              <w:t>Referred to General Government and Accountability (1/17)</w:t>
            </w:r>
          </w:p>
        </w:tc>
      </w:tr>
      <w:tr w:rsidR="00B975E7" w:rsidTr="006A2918">
        <w:trPr>
          <w:trHeight w:val="236"/>
        </w:trPr>
        <w:tc>
          <w:tcPr>
            <w:tcW w:w="2172" w:type="dxa"/>
          </w:tcPr>
          <w:p w:rsidR="00B975E7" w:rsidRDefault="00B0179F" w:rsidP="006A2918">
            <w:pPr>
              <w:keepLines/>
            </w:pPr>
            <w:hyperlink r:id="rId27" w:history="1">
              <w:r w:rsidR="00B975E7" w:rsidRPr="00B975E7">
                <w:rPr>
                  <w:rStyle w:val="Hyperlink"/>
                </w:rPr>
                <w:t>SB 2</w:t>
              </w:r>
              <w:r w:rsidR="00B975E7" w:rsidRPr="00B975E7">
                <w:rPr>
                  <w:rStyle w:val="Hyperlink"/>
                </w:rPr>
                <w:t>5</w:t>
              </w:r>
              <w:r w:rsidR="00B975E7" w:rsidRPr="00B975E7">
                <w:rPr>
                  <w:rStyle w:val="Hyperlink"/>
                </w:rPr>
                <w:t>4</w:t>
              </w:r>
            </w:hyperlink>
          </w:p>
        </w:tc>
        <w:tc>
          <w:tcPr>
            <w:tcW w:w="6545" w:type="dxa"/>
          </w:tcPr>
          <w:p w:rsidR="00B975E7" w:rsidRPr="00B90741" w:rsidRDefault="00B975E7" w:rsidP="006A2918">
            <w:pPr>
              <w:keepLines/>
            </w:pPr>
            <w:r w:rsidRPr="00B975E7">
              <w:t>Requires financial institutions to participate in data match system established by Department of Revenue to identify assets held at financial institutions by delinquent debtors.</w:t>
            </w:r>
          </w:p>
        </w:tc>
        <w:tc>
          <w:tcPr>
            <w:tcW w:w="4361" w:type="dxa"/>
          </w:tcPr>
          <w:p w:rsidR="00B975E7" w:rsidRDefault="00C56584" w:rsidP="006A2918">
            <w:pPr>
              <w:keepLines/>
            </w:pPr>
            <w:r>
              <w:t>Referred to Ways and Means (3/30)</w:t>
            </w:r>
          </w:p>
        </w:tc>
      </w:tr>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7F4DB2">
              <w:rPr>
                <w:color w:val="FFFFFF" w:themeColor="background1"/>
              </w:rPr>
              <w:t>Washington</w:t>
            </w:r>
          </w:p>
        </w:tc>
      </w:tr>
      <w:tr w:rsidR="00F517EF" w:rsidTr="006A2918">
        <w:trPr>
          <w:trHeight w:val="236"/>
        </w:trPr>
        <w:tc>
          <w:tcPr>
            <w:tcW w:w="2172" w:type="dxa"/>
          </w:tcPr>
          <w:p w:rsidR="00F517EF" w:rsidRDefault="00B0179F" w:rsidP="006A2918">
            <w:pPr>
              <w:keepLines/>
            </w:pPr>
            <w:hyperlink r:id="rId28" w:history="1">
              <w:r w:rsidR="00F517EF" w:rsidRPr="007F4DB2">
                <w:rPr>
                  <w:rStyle w:val="Hyperlink"/>
                </w:rPr>
                <w:t>HB 1</w:t>
              </w:r>
              <w:r w:rsidR="00F517EF" w:rsidRPr="007F4DB2">
                <w:rPr>
                  <w:rStyle w:val="Hyperlink"/>
                </w:rPr>
                <w:t>2</w:t>
              </w:r>
              <w:r w:rsidR="00F517EF" w:rsidRPr="007F4DB2">
                <w:rPr>
                  <w:rStyle w:val="Hyperlink"/>
                </w:rPr>
                <w:t>09</w:t>
              </w:r>
            </w:hyperlink>
          </w:p>
          <w:p w:rsidR="00F517EF" w:rsidRDefault="00F517EF" w:rsidP="006A2918">
            <w:pPr>
              <w:keepLines/>
            </w:pPr>
            <w:r>
              <w:t>SB 5396</w:t>
            </w:r>
          </w:p>
        </w:tc>
        <w:tc>
          <w:tcPr>
            <w:tcW w:w="6545" w:type="dxa"/>
          </w:tcPr>
          <w:p w:rsidR="00F517EF" w:rsidRDefault="00F517EF" w:rsidP="006A2918">
            <w:pPr>
              <w:keepLines/>
            </w:pPr>
            <w:r>
              <w:t>Allow credit unions to accept public deposits that exceed the maximum deposit insured by the NCUA share insurance fund.</w:t>
            </w:r>
          </w:p>
        </w:tc>
        <w:tc>
          <w:tcPr>
            <w:tcW w:w="4361" w:type="dxa"/>
          </w:tcPr>
          <w:p w:rsidR="00F517EF" w:rsidRDefault="00980B64" w:rsidP="006A2918">
            <w:pPr>
              <w:keepLines/>
            </w:pPr>
            <w:r>
              <w:t xml:space="preserve">SHB </w:t>
            </w:r>
            <w:r w:rsidR="00F517EF">
              <w:t>Passed House</w:t>
            </w:r>
          </w:p>
          <w:p w:rsidR="00F517EF" w:rsidRDefault="00C56584" w:rsidP="006A2918">
            <w:pPr>
              <w:keepLines/>
            </w:pPr>
            <w:r>
              <w:t>Reintroduced in 1</w:t>
            </w:r>
            <w:r w:rsidRPr="00C56584">
              <w:rPr>
                <w:vertAlign w:val="superscript"/>
              </w:rPr>
              <w:t>st</w:t>
            </w:r>
            <w:r>
              <w:t xml:space="preserve"> special session (4/24)</w:t>
            </w:r>
          </w:p>
        </w:tc>
      </w:tr>
      <w:tr w:rsidR="00F517EF" w:rsidTr="006A2918">
        <w:trPr>
          <w:trHeight w:val="236"/>
        </w:trPr>
        <w:tc>
          <w:tcPr>
            <w:tcW w:w="2172" w:type="dxa"/>
          </w:tcPr>
          <w:p w:rsidR="00F517EF" w:rsidRDefault="00B0179F" w:rsidP="006A2918">
            <w:pPr>
              <w:keepLines/>
            </w:pPr>
            <w:hyperlink r:id="rId29" w:history="1">
              <w:r w:rsidR="00F517EF" w:rsidRPr="007F4DB2">
                <w:rPr>
                  <w:rStyle w:val="Hyperlink"/>
                </w:rPr>
                <w:t>HB 1318</w:t>
              </w:r>
            </w:hyperlink>
          </w:p>
        </w:tc>
        <w:tc>
          <w:tcPr>
            <w:tcW w:w="6545" w:type="dxa"/>
          </w:tcPr>
          <w:p w:rsidR="00F517EF" w:rsidRPr="00980B64" w:rsidRDefault="00F517EF" w:rsidP="006A2918">
            <w:pPr>
              <w:keepLines/>
              <w:rPr>
                <w:strike/>
              </w:rPr>
            </w:pPr>
            <w:r w:rsidRPr="00980B64">
              <w:rPr>
                <w:strike/>
              </w:rPr>
              <w:t xml:space="preserve">Allow state-chartered credit unions to accept supplemental capital to build net worth.  </w:t>
            </w:r>
          </w:p>
        </w:tc>
        <w:tc>
          <w:tcPr>
            <w:tcW w:w="4361" w:type="dxa"/>
          </w:tcPr>
          <w:p w:rsidR="00F517EF" w:rsidRPr="00AE3001" w:rsidRDefault="00F517EF" w:rsidP="006A2918">
            <w:pPr>
              <w:keepLines/>
              <w:rPr>
                <w:strike/>
              </w:rPr>
            </w:pPr>
            <w:r w:rsidRPr="00AE3001">
              <w:rPr>
                <w:strike/>
              </w:rPr>
              <w:t>In House Committee</w:t>
            </w:r>
            <w:r w:rsidR="00980B64" w:rsidRPr="00AE3001">
              <w:rPr>
                <w:strike/>
              </w:rPr>
              <w:t xml:space="preserve"> </w:t>
            </w:r>
          </w:p>
        </w:tc>
      </w:tr>
      <w:tr w:rsidR="00F517EF" w:rsidTr="006A2918">
        <w:trPr>
          <w:trHeight w:val="236"/>
        </w:trPr>
        <w:tc>
          <w:tcPr>
            <w:tcW w:w="2172" w:type="dxa"/>
          </w:tcPr>
          <w:p w:rsidR="00F517EF" w:rsidRDefault="00F517EF" w:rsidP="006A2918">
            <w:pPr>
              <w:keepLines/>
            </w:pPr>
          </w:p>
        </w:tc>
        <w:tc>
          <w:tcPr>
            <w:tcW w:w="6545" w:type="dxa"/>
          </w:tcPr>
          <w:p w:rsidR="00F517EF" w:rsidRDefault="00F517EF" w:rsidP="006A2918">
            <w:pPr>
              <w:keepLines/>
            </w:pPr>
          </w:p>
        </w:tc>
        <w:tc>
          <w:tcPr>
            <w:tcW w:w="4361" w:type="dxa"/>
          </w:tcPr>
          <w:p w:rsidR="00F517EF" w:rsidRDefault="00F517EF" w:rsidP="006A2918">
            <w:pPr>
              <w:keepLines/>
            </w:pPr>
          </w:p>
        </w:tc>
      </w:tr>
      <w:tr w:rsidR="00F517EF" w:rsidTr="006A2918">
        <w:trPr>
          <w:trHeight w:val="236"/>
        </w:trPr>
        <w:tc>
          <w:tcPr>
            <w:tcW w:w="2172" w:type="dxa"/>
          </w:tcPr>
          <w:p w:rsidR="00F517EF" w:rsidRDefault="00F517EF" w:rsidP="006A2918">
            <w:pPr>
              <w:keepLines/>
            </w:pPr>
          </w:p>
        </w:tc>
        <w:tc>
          <w:tcPr>
            <w:tcW w:w="6545" w:type="dxa"/>
          </w:tcPr>
          <w:p w:rsidR="00F517EF" w:rsidRDefault="00F517EF" w:rsidP="006A2918">
            <w:pPr>
              <w:keepLines/>
            </w:pPr>
          </w:p>
        </w:tc>
        <w:tc>
          <w:tcPr>
            <w:tcW w:w="4361" w:type="dxa"/>
          </w:tcPr>
          <w:p w:rsidR="00F517EF" w:rsidRDefault="00F517EF" w:rsidP="006A2918">
            <w:pPr>
              <w:keepLines/>
            </w:pPr>
          </w:p>
        </w:tc>
      </w:tr>
    </w:tbl>
    <w:p w:rsidR="00F517EF" w:rsidRDefault="00F517EF" w:rsidP="00D1188B"/>
    <w:p w:rsidR="00FC60FC" w:rsidRDefault="00FC60FC" w:rsidP="00D1188B">
      <w:r>
        <w:t xml:space="preserve">The DFI </w:t>
      </w:r>
      <w:hyperlink r:id="rId30" w:history="1">
        <w:r w:rsidRPr="00643760">
          <w:rPr>
            <w:rStyle w:val="Hyperlink"/>
          </w:rPr>
          <w:t>announced</w:t>
        </w:r>
      </w:hyperlink>
      <w:r>
        <w:t xml:space="preserve"> that it is resuming </w:t>
      </w:r>
      <w:r w:rsidR="00643760">
        <w:t xml:space="preserve">its Member Business Lending Rule-Making process.  The process was placed on hold when the Independent Community Banker Association sued the NCUA regarding its MBL rule.  Meetings begin on May 18.  </w:t>
      </w:r>
    </w:p>
    <w:p w:rsidR="00013BF9" w:rsidRPr="00013BF9" w:rsidRDefault="00013BF9" w:rsidP="00D1188B">
      <w:pPr>
        <w:rPr>
          <w:b/>
          <w:sz w:val="28"/>
          <w:szCs w:val="28"/>
        </w:rPr>
      </w:pPr>
      <w:r w:rsidRPr="00013BF9">
        <w:rPr>
          <w:b/>
          <w:sz w:val="28"/>
          <w:szCs w:val="28"/>
        </w:rPr>
        <w:t>IMPORTANT DATES</w:t>
      </w:r>
      <w:bookmarkStart w:id="0" w:name="_GoBack"/>
      <w:bookmarkEnd w:id="0"/>
    </w:p>
    <w:p w:rsidR="00225F57" w:rsidRDefault="00B2494D" w:rsidP="00D830AA">
      <w:r w:rsidRPr="00B2494D">
        <w:rPr>
          <w:b/>
        </w:rPr>
        <w:t>Call Report due dates for 2017</w:t>
      </w:r>
      <w:r>
        <w:t xml:space="preserve">:  January 29, April 30, July 30, and October 29 (the last Sunday of the month following the quarter end).  </w:t>
      </w:r>
    </w:p>
    <w:p w:rsidR="000F5081" w:rsidRPr="00DD1CB4" w:rsidRDefault="000F5081"/>
    <w:sectPr w:rsidR="000F5081" w:rsidRPr="00DD1CB4" w:rsidSect="004670B2">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79F" w:rsidRDefault="00B0179F" w:rsidP="009516FB">
      <w:pPr>
        <w:spacing w:after="0" w:line="240" w:lineRule="auto"/>
      </w:pPr>
      <w:r>
        <w:separator/>
      </w:r>
    </w:p>
  </w:endnote>
  <w:endnote w:type="continuationSeparator" w:id="0">
    <w:p w:rsidR="00B0179F" w:rsidRDefault="00B0179F"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9F" w:rsidRDefault="00B0179F"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79F" w:rsidRDefault="00B0179F" w:rsidP="009516FB">
      <w:pPr>
        <w:spacing w:after="0" w:line="240" w:lineRule="auto"/>
      </w:pPr>
      <w:r>
        <w:separator/>
      </w:r>
    </w:p>
  </w:footnote>
  <w:footnote w:type="continuationSeparator" w:id="0">
    <w:p w:rsidR="00B0179F" w:rsidRDefault="00B0179F"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28335"/>
      <w:docPartObj>
        <w:docPartGallery w:val="Page Numbers (Top of Page)"/>
        <w:docPartUnique/>
      </w:docPartObj>
    </w:sdtPr>
    <w:sdtEndPr>
      <w:rPr>
        <w:noProof/>
      </w:rPr>
    </w:sdtEndPr>
    <w:sdtContent>
      <w:p w:rsidR="00B0179F" w:rsidRDefault="00B0179F">
        <w:pPr>
          <w:pStyle w:val="Header"/>
          <w:jc w:val="right"/>
        </w:pPr>
        <w:r>
          <w:fldChar w:fldCharType="begin"/>
        </w:r>
        <w:r>
          <w:instrText xml:space="preserve"> PAGE   \* MERGEFORMAT </w:instrText>
        </w:r>
        <w:r>
          <w:fldChar w:fldCharType="separate"/>
        </w:r>
        <w:r w:rsidR="00C56584">
          <w:rPr>
            <w:noProof/>
          </w:rPr>
          <w:t>4</w:t>
        </w:r>
        <w:r>
          <w:rPr>
            <w:noProof/>
          </w:rPr>
          <w:fldChar w:fldCharType="end"/>
        </w:r>
      </w:p>
    </w:sdtContent>
  </w:sdt>
  <w:p w:rsidR="00B0179F" w:rsidRDefault="00B01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11112"/>
    <w:rsid w:val="00013BF9"/>
    <w:rsid w:val="00013FA8"/>
    <w:rsid w:val="00016A3D"/>
    <w:rsid w:val="00033069"/>
    <w:rsid w:val="00035E46"/>
    <w:rsid w:val="00036A9E"/>
    <w:rsid w:val="0004395A"/>
    <w:rsid w:val="00050E93"/>
    <w:rsid w:val="00053D69"/>
    <w:rsid w:val="0005474C"/>
    <w:rsid w:val="00062373"/>
    <w:rsid w:val="000704A8"/>
    <w:rsid w:val="0007572E"/>
    <w:rsid w:val="000C57E2"/>
    <w:rsid w:val="000C6F62"/>
    <w:rsid w:val="000D2411"/>
    <w:rsid w:val="000E0E4E"/>
    <w:rsid w:val="000E1F7A"/>
    <w:rsid w:val="000E30FB"/>
    <w:rsid w:val="000F5081"/>
    <w:rsid w:val="00105532"/>
    <w:rsid w:val="00105BF0"/>
    <w:rsid w:val="00113262"/>
    <w:rsid w:val="00114BD2"/>
    <w:rsid w:val="0012584F"/>
    <w:rsid w:val="001371A1"/>
    <w:rsid w:val="00137A4B"/>
    <w:rsid w:val="00143775"/>
    <w:rsid w:val="00152E97"/>
    <w:rsid w:val="00154381"/>
    <w:rsid w:val="00155503"/>
    <w:rsid w:val="00155BB2"/>
    <w:rsid w:val="00172B95"/>
    <w:rsid w:val="00173106"/>
    <w:rsid w:val="00174A57"/>
    <w:rsid w:val="00176A30"/>
    <w:rsid w:val="00176BAE"/>
    <w:rsid w:val="001924F5"/>
    <w:rsid w:val="0019373F"/>
    <w:rsid w:val="001B36FB"/>
    <w:rsid w:val="001B4DB6"/>
    <w:rsid w:val="001C24FB"/>
    <w:rsid w:val="001F2A05"/>
    <w:rsid w:val="001F4193"/>
    <w:rsid w:val="00201A42"/>
    <w:rsid w:val="00207316"/>
    <w:rsid w:val="00215590"/>
    <w:rsid w:val="00217B65"/>
    <w:rsid w:val="0022595F"/>
    <w:rsid w:val="00225F57"/>
    <w:rsid w:val="00233F19"/>
    <w:rsid w:val="002362A2"/>
    <w:rsid w:val="00251848"/>
    <w:rsid w:val="00261F16"/>
    <w:rsid w:val="002635E0"/>
    <w:rsid w:val="00265D6B"/>
    <w:rsid w:val="00272CD7"/>
    <w:rsid w:val="00274CDA"/>
    <w:rsid w:val="00294580"/>
    <w:rsid w:val="002B082F"/>
    <w:rsid w:val="002B38F0"/>
    <w:rsid w:val="002B4E3D"/>
    <w:rsid w:val="002B6DAC"/>
    <w:rsid w:val="002C4A0B"/>
    <w:rsid w:val="002D029F"/>
    <w:rsid w:val="002E109D"/>
    <w:rsid w:val="002F3DF3"/>
    <w:rsid w:val="002F4525"/>
    <w:rsid w:val="003011AF"/>
    <w:rsid w:val="003017B9"/>
    <w:rsid w:val="003245BB"/>
    <w:rsid w:val="00336C3F"/>
    <w:rsid w:val="00356321"/>
    <w:rsid w:val="003632A8"/>
    <w:rsid w:val="00366CE9"/>
    <w:rsid w:val="0038010D"/>
    <w:rsid w:val="00394799"/>
    <w:rsid w:val="003B117B"/>
    <w:rsid w:val="003B2BCF"/>
    <w:rsid w:val="003B5637"/>
    <w:rsid w:val="003B5E21"/>
    <w:rsid w:val="003C7920"/>
    <w:rsid w:val="003D64B3"/>
    <w:rsid w:val="003E0302"/>
    <w:rsid w:val="003E2AD1"/>
    <w:rsid w:val="003E70C6"/>
    <w:rsid w:val="003F618F"/>
    <w:rsid w:val="004070E9"/>
    <w:rsid w:val="00413996"/>
    <w:rsid w:val="0042461E"/>
    <w:rsid w:val="004331F4"/>
    <w:rsid w:val="00435186"/>
    <w:rsid w:val="00443C0F"/>
    <w:rsid w:val="00444FFD"/>
    <w:rsid w:val="00445E61"/>
    <w:rsid w:val="00451B34"/>
    <w:rsid w:val="00451DB7"/>
    <w:rsid w:val="00453DA0"/>
    <w:rsid w:val="004629C9"/>
    <w:rsid w:val="004670B2"/>
    <w:rsid w:val="004801A3"/>
    <w:rsid w:val="0048047D"/>
    <w:rsid w:val="004B0CF2"/>
    <w:rsid w:val="004B1A12"/>
    <w:rsid w:val="004B7407"/>
    <w:rsid w:val="004C2F31"/>
    <w:rsid w:val="004C4FD5"/>
    <w:rsid w:val="004D5C8D"/>
    <w:rsid w:val="004E02B2"/>
    <w:rsid w:val="004E6E06"/>
    <w:rsid w:val="004F6A93"/>
    <w:rsid w:val="004F7B91"/>
    <w:rsid w:val="00502F4F"/>
    <w:rsid w:val="00503A84"/>
    <w:rsid w:val="00513A6B"/>
    <w:rsid w:val="005208A0"/>
    <w:rsid w:val="00525941"/>
    <w:rsid w:val="00526961"/>
    <w:rsid w:val="0057444C"/>
    <w:rsid w:val="005958A6"/>
    <w:rsid w:val="005A164C"/>
    <w:rsid w:val="005B2EEA"/>
    <w:rsid w:val="005C072A"/>
    <w:rsid w:val="005D4EA4"/>
    <w:rsid w:val="005F4AC9"/>
    <w:rsid w:val="005F4D1E"/>
    <w:rsid w:val="005F6C21"/>
    <w:rsid w:val="00603473"/>
    <w:rsid w:val="00605BAB"/>
    <w:rsid w:val="00615725"/>
    <w:rsid w:val="006264E4"/>
    <w:rsid w:val="00630088"/>
    <w:rsid w:val="00630275"/>
    <w:rsid w:val="00630DEC"/>
    <w:rsid w:val="00632317"/>
    <w:rsid w:val="00634CA3"/>
    <w:rsid w:val="00643760"/>
    <w:rsid w:val="00644E58"/>
    <w:rsid w:val="006468AC"/>
    <w:rsid w:val="00651041"/>
    <w:rsid w:val="00667C6B"/>
    <w:rsid w:val="00672066"/>
    <w:rsid w:val="006908CC"/>
    <w:rsid w:val="00692031"/>
    <w:rsid w:val="00693EF2"/>
    <w:rsid w:val="006A0683"/>
    <w:rsid w:val="006A2918"/>
    <w:rsid w:val="006A7271"/>
    <w:rsid w:val="006B3DE0"/>
    <w:rsid w:val="006B67AC"/>
    <w:rsid w:val="006B6D03"/>
    <w:rsid w:val="006C0A16"/>
    <w:rsid w:val="006C3107"/>
    <w:rsid w:val="006D0C47"/>
    <w:rsid w:val="006D2DF4"/>
    <w:rsid w:val="006D4256"/>
    <w:rsid w:val="006E10DB"/>
    <w:rsid w:val="0070652F"/>
    <w:rsid w:val="007075BA"/>
    <w:rsid w:val="00710285"/>
    <w:rsid w:val="00711B89"/>
    <w:rsid w:val="007122A3"/>
    <w:rsid w:val="00714311"/>
    <w:rsid w:val="00734132"/>
    <w:rsid w:val="0075139C"/>
    <w:rsid w:val="00753D11"/>
    <w:rsid w:val="0076011C"/>
    <w:rsid w:val="00766BE3"/>
    <w:rsid w:val="007761FF"/>
    <w:rsid w:val="00780EB2"/>
    <w:rsid w:val="0079268D"/>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2731E"/>
    <w:rsid w:val="00847BAF"/>
    <w:rsid w:val="00854729"/>
    <w:rsid w:val="00857D6B"/>
    <w:rsid w:val="00863C31"/>
    <w:rsid w:val="00864656"/>
    <w:rsid w:val="00870B44"/>
    <w:rsid w:val="0087131F"/>
    <w:rsid w:val="00871704"/>
    <w:rsid w:val="00873B59"/>
    <w:rsid w:val="008756E8"/>
    <w:rsid w:val="00881E57"/>
    <w:rsid w:val="008821F9"/>
    <w:rsid w:val="00886D2A"/>
    <w:rsid w:val="00891FE6"/>
    <w:rsid w:val="00897886"/>
    <w:rsid w:val="008A14C6"/>
    <w:rsid w:val="008B03E6"/>
    <w:rsid w:val="008B5C5C"/>
    <w:rsid w:val="008C7F59"/>
    <w:rsid w:val="008D78E1"/>
    <w:rsid w:val="008E19EA"/>
    <w:rsid w:val="008E28CB"/>
    <w:rsid w:val="008E296D"/>
    <w:rsid w:val="008E711C"/>
    <w:rsid w:val="0091703E"/>
    <w:rsid w:val="00920A21"/>
    <w:rsid w:val="00924FE5"/>
    <w:rsid w:val="00925885"/>
    <w:rsid w:val="009322F0"/>
    <w:rsid w:val="00933EB4"/>
    <w:rsid w:val="009478D9"/>
    <w:rsid w:val="009516FB"/>
    <w:rsid w:val="00957814"/>
    <w:rsid w:val="00980B64"/>
    <w:rsid w:val="00980C97"/>
    <w:rsid w:val="009837E4"/>
    <w:rsid w:val="00983CC0"/>
    <w:rsid w:val="00990BAD"/>
    <w:rsid w:val="009937AD"/>
    <w:rsid w:val="0099695C"/>
    <w:rsid w:val="009A5E71"/>
    <w:rsid w:val="009A716D"/>
    <w:rsid w:val="009A7FE9"/>
    <w:rsid w:val="009B25D5"/>
    <w:rsid w:val="009C4E16"/>
    <w:rsid w:val="009C5026"/>
    <w:rsid w:val="009D0E2F"/>
    <w:rsid w:val="009E1BCF"/>
    <w:rsid w:val="009F00D3"/>
    <w:rsid w:val="00A03475"/>
    <w:rsid w:val="00A07BED"/>
    <w:rsid w:val="00A10A42"/>
    <w:rsid w:val="00A13CB2"/>
    <w:rsid w:val="00A367AD"/>
    <w:rsid w:val="00A371E4"/>
    <w:rsid w:val="00A54A69"/>
    <w:rsid w:val="00A731C9"/>
    <w:rsid w:val="00A770CD"/>
    <w:rsid w:val="00A775BA"/>
    <w:rsid w:val="00A809DC"/>
    <w:rsid w:val="00A81DA4"/>
    <w:rsid w:val="00A82B32"/>
    <w:rsid w:val="00A84002"/>
    <w:rsid w:val="00A8721F"/>
    <w:rsid w:val="00A96B19"/>
    <w:rsid w:val="00A97370"/>
    <w:rsid w:val="00AB217B"/>
    <w:rsid w:val="00AC1EC4"/>
    <w:rsid w:val="00AC28C6"/>
    <w:rsid w:val="00AC6A22"/>
    <w:rsid w:val="00AD2397"/>
    <w:rsid w:val="00AD5A87"/>
    <w:rsid w:val="00AD5AFA"/>
    <w:rsid w:val="00AD6AF4"/>
    <w:rsid w:val="00AE3001"/>
    <w:rsid w:val="00AE3AA2"/>
    <w:rsid w:val="00AF302A"/>
    <w:rsid w:val="00AF6446"/>
    <w:rsid w:val="00B0179F"/>
    <w:rsid w:val="00B01B28"/>
    <w:rsid w:val="00B11197"/>
    <w:rsid w:val="00B1548D"/>
    <w:rsid w:val="00B2494D"/>
    <w:rsid w:val="00B34E2E"/>
    <w:rsid w:val="00B355D2"/>
    <w:rsid w:val="00B35870"/>
    <w:rsid w:val="00B440A3"/>
    <w:rsid w:val="00B52D08"/>
    <w:rsid w:val="00B532FB"/>
    <w:rsid w:val="00B623E9"/>
    <w:rsid w:val="00B66E90"/>
    <w:rsid w:val="00B71928"/>
    <w:rsid w:val="00B819BC"/>
    <w:rsid w:val="00B975E7"/>
    <w:rsid w:val="00BA5444"/>
    <w:rsid w:val="00BB1B58"/>
    <w:rsid w:val="00BB6B54"/>
    <w:rsid w:val="00BD479B"/>
    <w:rsid w:val="00BD5ADC"/>
    <w:rsid w:val="00BF0D7B"/>
    <w:rsid w:val="00C012BB"/>
    <w:rsid w:val="00C02DF2"/>
    <w:rsid w:val="00C0564A"/>
    <w:rsid w:val="00C12A79"/>
    <w:rsid w:val="00C15E43"/>
    <w:rsid w:val="00C1691D"/>
    <w:rsid w:val="00C40D53"/>
    <w:rsid w:val="00C417A3"/>
    <w:rsid w:val="00C5176C"/>
    <w:rsid w:val="00C52445"/>
    <w:rsid w:val="00C53A07"/>
    <w:rsid w:val="00C56584"/>
    <w:rsid w:val="00C6554D"/>
    <w:rsid w:val="00C721DB"/>
    <w:rsid w:val="00C77CEE"/>
    <w:rsid w:val="00C83BE8"/>
    <w:rsid w:val="00C950B3"/>
    <w:rsid w:val="00CA0305"/>
    <w:rsid w:val="00CA2872"/>
    <w:rsid w:val="00CC43EC"/>
    <w:rsid w:val="00CC60FF"/>
    <w:rsid w:val="00CD1AC9"/>
    <w:rsid w:val="00CE1A73"/>
    <w:rsid w:val="00CE26B8"/>
    <w:rsid w:val="00CF22C2"/>
    <w:rsid w:val="00D1188B"/>
    <w:rsid w:val="00D121D2"/>
    <w:rsid w:val="00D12C32"/>
    <w:rsid w:val="00D25AD2"/>
    <w:rsid w:val="00D3009A"/>
    <w:rsid w:val="00D311E0"/>
    <w:rsid w:val="00D342C8"/>
    <w:rsid w:val="00D42123"/>
    <w:rsid w:val="00D4416D"/>
    <w:rsid w:val="00D608FB"/>
    <w:rsid w:val="00D64643"/>
    <w:rsid w:val="00D830AA"/>
    <w:rsid w:val="00D84E99"/>
    <w:rsid w:val="00DB2422"/>
    <w:rsid w:val="00DB5E19"/>
    <w:rsid w:val="00DC082C"/>
    <w:rsid w:val="00DC094A"/>
    <w:rsid w:val="00DC5948"/>
    <w:rsid w:val="00DC71AF"/>
    <w:rsid w:val="00DD0103"/>
    <w:rsid w:val="00DD09C7"/>
    <w:rsid w:val="00DD1CB4"/>
    <w:rsid w:val="00DD3ABC"/>
    <w:rsid w:val="00DF483C"/>
    <w:rsid w:val="00E02279"/>
    <w:rsid w:val="00E11D08"/>
    <w:rsid w:val="00E13DD7"/>
    <w:rsid w:val="00E31E6D"/>
    <w:rsid w:val="00E60521"/>
    <w:rsid w:val="00E60F45"/>
    <w:rsid w:val="00E80D83"/>
    <w:rsid w:val="00E81DCB"/>
    <w:rsid w:val="00E84648"/>
    <w:rsid w:val="00EA7A23"/>
    <w:rsid w:val="00EC5CB5"/>
    <w:rsid w:val="00ED793F"/>
    <w:rsid w:val="00EF1DD3"/>
    <w:rsid w:val="00EF618B"/>
    <w:rsid w:val="00F026C4"/>
    <w:rsid w:val="00F02739"/>
    <w:rsid w:val="00F059BB"/>
    <w:rsid w:val="00F067FC"/>
    <w:rsid w:val="00F2538A"/>
    <w:rsid w:val="00F26D48"/>
    <w:rsid w:val="00F43456"/>
    <w:rsid w:val="00F443AC"/>
    <w:rsid w:val="00F507E6"/>
    <w:rsid w:val="00F517EF"/>
    <w:rsid w:val="00F55547"/>
    <w:rsid w:val="00F628F8"/>
    <w:rsid w:val="00F6705E"/>
    <w:rsid w:val="00F7041B"/>
    <w:rsid w:val="00F76BD4"/>
    <w:rsid w:val="00F90EDC"/>
    <w:rsid w:val="00F970CC"/>
    <w:rsid w:val="00FA16B3"/>
    <w:rsid w:val="00FA7669"/>
    <w:rsid w:val="00FC005D"/>
    <w:rsid w:val="00FC4C42"/>
    <w:rsid w:val="00FC60FC"/>
    <w:rsid w:val="00FD3FF3"/>
    <w:rsid w:val="00FD690C"/>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F98D699"/>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0B2"/>
    <w:rPr>
      <w:rFonts w:eastAsiaTheme="minorEastAsia"/>
    </w:rPr>
  </w:style>
  <w:style w:type="paragraph" w:styleId="Heading2">
    <w:name w:val="heading 2"/>
    <w:basedOn w:val="Normal"/>
    <w:next w:val="Normal"/>
    <w:link w:val="Heading2Char"/>
    <w:uiPriority w:val="9"/>
    <w:semiHidden/>
    <w:unhideWhenUsed/>
    <w:qFormat/>
    <w:rsid w:val="00033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19EA"/>
    <w:rPr>
      <w:i/>
      <w:iCs/>
    </w:rPr>
  </w:style>
  <w:style w:type="character" w:customStyle="1" w:styleId="Heading2Char">
    <w:name w:val="Heading 2 Char"/>
    <w:basedOn w:val="DefaultParagraphFont"/>
    <w:link w:val="Heading2"/>
    <w:uiPriority w:val="9"/>
    <w:semiHidden/>
    <w:rsid w:val="00033069"/>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0E30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69">
      <w:bodyDiv w:val="1"/>
      <w:marLeft w:val="0"/>
      <w:marRight w:val="0"/>
      <w:marTop w:val="0"/>
      <w:marBottom w:val="0"/>
      <w:divBdr>
        <w:top w:val="none" w:sz="0" w:space="0" w:color="auto"/>
        <w:left w:val="none" w:sz="0" w:space="0" w:color="auto"/>
        <w:bottom w:val="none" w:sz="0" w:space="0" w:color="auto"/>
        <w:right w:val="none" w:sz="0" w:space="0" w:color="auto"/>
      </w:divBdr>
      <w:divsChild>
        <w:div w:id="922839204">
          <w:marLeft w:val="0"/>
          <w:marRight w:val="0"/>
          <w:marTop w:val="0"/>
          <w:marBottom w:val="0"/>
          <w:divBdr>
            <w:top w:val="none" w:sz="0" w:space="0" w:color="auto"/>
            <w:left w:val="none" w:sz="0" w:space="0" w:color="auto"/>
            <w:bottom w:val="none" w:sz="0" w:space="0" w:color="auto"/>
            <w:right w:val="none" w:sz="0" w:space="0" w:color="auto"/>
          </w:divBdr>
          <w:divsChild>
            <w:div w:id="1075711462">
              <w:marLeft w:val="0"/>
              <w:marRight w:val="0"/>
              <w:marTop w:val="0"/>
              <w:marBottom w:val="0"/>
              <w:divBdr>
                <w:top w:val="none" w:sz="0" w:space="0" w:color="auto"/>
                <w:left w:val="none" w:sz="0" w:space="0" w:color="auto"/>
                <w:bottom w:val="none" w:sz="0" w:space="0" w:color="auto"/>
                <w:right w:val="none" w:sz="0" w:space="0" w:color="auto"/>
              </w:divBdr>
              <w:divsChild>
                <w:div w:id="9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038554086">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ompliance.org/proposed-changes-regulation-b-match-regulation-c/" TargetMode="External"/><Relationship Id="rId13" Type="http://schemas.openxmlformats.org/officeDocument/2006/relationships/hyperlink" Target="https://wadismeetings.webex.com/wadismeetings/j.php?MTID=mfe4bece1dbaadd133006646d125dd81c" TargetMode="External"/><Relationship Id="rId18" Type="http://schemas.openxmlformats.org/officeDocument/2006/relationships/hyperlink" Target="https://nwcompliance.org/ncua-sl-17-01-updated-compliance-risk-indicators/" TargetMode="External"/><Relationship Id="rId26" Type="http://schemas.openxmlformats.org/officeDocument/2006/relationships/hyperlink" Target="https://olis.leg.state.or.us/liz/2017R1/Measures/Overview/SB113?pubDate=2017-03-02-11-25" TargetMode="External"/><Relationship Id="rId3" Type="http://schemas.openxmlformats.org/officeDocument/2006/relationships/settings" Target="settings.xml"/><Relationship Id="rId21" Type="http://schemas.openxmlformats.org/officeDocument/2006/relationships/hyperlink" Target="https://olis.leg.state.or.us/liz/2017R1/Measures/Overview/HB2359?pubDate=2017-02-27-08-36" TargetMode="External"/><Relationship Id="rId34" Type="http://schemas.openxmlformats.org/officeDocument/2006/relationships/theme" Target="theme/theme1.xml"/><Relationship Id="rId7" Type="http://schemas.openxmlformats.org/officeDocument/2006/relationships/hyperlink" Target="https://www.federalregister.gov/documents/2017/04/25/2017-08341/prepaid-accounts-under-the-electronic-fund-transfer-act-regulation-e-and-the-truth-in-lending-act" TargetMode="External"/><Relationship Id="rId12" Type="http://schemas.openxmlformats.org/officeDocument/2006/relationships/hyperlink" Target="http://files.consumerfinance.gov/f/documents/201704_cfpb_OMWI-Regulated-Entities-External-Report.PDF" TargetMode="External"/><Relationship Id="rId17" Type="http://schemas.openxmlformats.org/officeDocument/2006/relationships/hyperlink" Target="https://nwcompliance.org/ncuas-videos-effective-board-meetings/" TargetMode="External"/><Relationship Id="rId25" Type="http://schemas.openxmlformats.org/officeDocument/2006/relationships/hyperlink" Target="https://olis.leg.state.or.us/liz/2017R1/Measures/Overview/HB2346?pubDate=2017-02-22-09-1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wcompliance.org/cfpb-fair-lending-report/" TargetMode="External"/><Relationship Id="rId20" Type="http://schemas.openxmlformats.org/officeDocument/2006/relationships/hyperlink" Target="https://olis.leg.state.or.us/liz/2017R1/Measures/Overview/HB2161" TargetMode="External"/><Relationship Id="rId29" Type="http://schemas.openxmlformats.org/officeDocument/2006/relationships/hyperlink" Target="http://app.leg.wa.gov/billsummary?BillNumber=1318&amp;Year=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serve.gov/monetarypolicy/beigebook201704.htm" TargetMode="External"/><Relationship Id="rId24" Type="http://schemas.openxmlformats.org/officeDocument/2006/relationships/hyperlink" Target="https://olis.leg.state.or.us/liz/2017R1/Measures/Overview/HB2229?pubDate=2017-02-27-16-5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wcompliance.org/ach-operations-bulletin-2-2017-day-ach-debit-processing/" TargetMode="External"/><Relationship Id="rId23" Type="http://schemas.openxmlformats.org/officeDocument/2006/relationships/hyperlink" Target="https://olis.leg.state.or.us/liz/2017R1/Measures/Overview/HB2622?pubDate=2017-02-27-10-55" TargetMode="External"/><Relationship Id="rId28" Type="http://schemas.openxmlformats.org/officeDocument/2006/relationships/hyperlink" Target="http://app.leg.wa.gov/billsummary?BillNumber=1209&amp;Year=2017" TargetMode="External"/><Relationship Id="rId10" Type="http://schemas.openxmlformats.org/officeDocument/2006/relationships/hyperlink" Target="https://www.federalregister.gov/documents/2017/04/25/2017-07838/technical-corrections-and-clarifying-amendments-to-the-home-mortgage-disclosure-regulation-c-october" TargetMode="External"/><Relationship Id="rId19" Type="http://schemas.openxmlformats.org/officeDocument/2006/relationships/hyperlink" Target="https://nwcompliance.org/oregon-proposed-hb-2581-access-device-security-breache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deralregister.gov/documents/2017/04/04/2017-06195/amendments-to-equal-credit-opportunity-act-regulation-b-ethnicity-and-race-information-collection" TargetMode="External"/><Relationship Id="rId14" Type="http://schemas.openxmlformats.org/officeDocument/2006/relationships/hyperlink" Target="https://nwcompliance.org/cecl-resources/" TargetMode="External"/><Relationship Id="rId22" Type="http://schemas.openxmlformats.org/officeDocument/2006/relationships/hyperlink" Target="https://olis.leg.state.or.us/liz/2017R1/Measures/Overview/HB2624?pubDate=2017-02-27-08-36" TargetMode="External"/><Relationship Id="rId27" Type="http://schemas.openxmlformats.org/officeDocument/2006/relationships/hyperlink" Target="https://olis.leg.state.or.us/liz/2017R1/Measures/Overview/SB254?pubDate=2017-03-02-11-25" TargetMode="External"/><Relationship Id="rId30" Type="http://schemas.openxmlformats.org/officeDocument/2006/relationships/hyperlink" Target="http://www.dfi.wa.gov/sites/default/files/credit-unions/bulletins/B-17-1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13</cp:revision>
  <cp:lastPrinted>2016-12-27T17:43:00Z</cp:lastPrinted>
  <dcterms:created xsi:type="dcterms:W3CDTF">2017-03-29T15:42:00Z</dcterms:created>
  <dcterms:modified xsi:type="dcterms:W3CDTF">2017-05-01T15:36:00Z</dcterms:modified>
</cp:coreProperties>
</file>