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DC" w:rsidRDefault="00F90EDC">
      <w:pPr>
        <w:rPr>
          <w:b/>
          <w:sz w:val="28"/>
          <w:szCs w:val="28"/>
        </w:rPr>
      </w:pPr>
      <w:r>
        <w:rPr>
          <w:b/>
          <w:sz w:val="28"/>
          <w:szCs w:val="28"/>
        </w:rPr>
        <w:t>Reminder:</w:t>
      </w:r>
    </w:p>
    <w:p w:rsidR="00062373" w:rsidRDefault="00F90EDC">
      <w:pPr>
        <w:rPr>
          <w:sz w:val="28"/>
          <w:szCs w:val="28"/>
        </w:rPr>
      </w:pPr>
      <w:r>
        <w:rPr>
          <w:sz w:val="28"/>
          <w:szCs w:val="28"/>
        </w:rPr>
        <w:t xml:space="preserve">Please use the Client Request link from our website, </w:t>
      </w:r>
      <w:hyperlink r:id="rId7" w:history="1">
        <w:r w:rsidRPr="00647CE9">
          <w:rPr>
            <w:rStyle w:val="Hyperlink"/>
            <w:sz w:val="28"/>
            <w:szCs w:val="28"/>
          </w:rPr>
          <w:t>www.nwcompliance.org</w:t>
        </w:r>
      </w:hyperlink>
      <w:r>
        <w:rPr>
          <w:sz w:val="28"/>
          <w:szCs w:val="28"/>
        </w:rPr>
        <w:t xml:space="preserve">, when submitting ticket requests.  This link takes you to our Workfront portal, but we </w:t>
      </w:r>
      <w:r w:rsidR="00062373">
        <w:rPr>
          <w:sz w:val="28"/>
          <w:szCs w:val="28"/>
        </w:rPr>
        <w:t xml:space="preserve">may </w:t>
      </w:r>
      <w:r>
        <w:rPr>
          <w:sz w:val="28"/>
          <w:szCs w:val="28"/>
        </w:rPr>
        <w:t>also include information on</w:t>
      </w:r>
      <w:r w:rsidR="006B3DE0">
        <w:rPr>
          <w:sz w:val="28"/>
          <w:szCs w:val="28"/>
        </w:rPr>
        <w:t xml:space="preserve"> an</w:t>
      </w:r>
      <w:r>
        <w:rPr>
          <w:sz w:val="28"/>
          <w:szCs w:val="28"/>
        </w:rPr>
        <w:t xml:space="preserve"> int</w:t>
      </w:r>
      <w:r w:rsidR="00062373">
        <w:rPr>
          <w:sz w:val="28"/>
          <w:szCs w:val="28"/>
        </w:rPr>
        <w:t>erstitial</w:t>
      </w:r>
      <w:r>
        <w:rPr>
          <w:sz w:val="28"/>
          <w:szCs w:val="28"/>
        </w:rPr>
        <w:t xml:space="preserve"> page</w:t>
      </w:r>
      <w:r w:rsidR="00062373">
        <w:rPr>
          <w:sz w:val="28"/>
          <w:szCs w:val="28"/>
        </w:rPr>
        <w:t xml:space="preserve"> that could impact the response timing of your request, or other news regarding NWCG.  </w:t>
      </w:r>
      <w:r w:rsidR="006B3DE0">
        <w:rPr>
          <w:sz w:val="28"/>
          <w:szCs w:val="28"/>
        </w:rPr>
        <w:t xml:space="preserve">If our website is down, you can go directly to </w:t>
      </w:r>
      <w:hyperlink r:id="rId8" w:history="1">
        <w:r w:rsidR="006B3DE0" w:rsidRPr="00647CE9">
          <w:rPr>
            <w:rStyle w:val="Hyperlink"/>
            <w:sz w:val="28"/>
            <w:szCs w:val="28"/>
          </w:rPr>
          <w:t>https://nwcompliance.attask-ondemand.com/login</w:t>
        </w:r>
      </w:hyperlink>
      <w:r w:rsidR="006B3DE0">
        <w:rPr>
          <w:sz w:val="28"/>
          <w:szCs w:val="28"/>
        </w:rPr>
        <w:t xml:space="preserve"> to submit your request.</w:t>
      </w:r>
    </w:p>
    <w:p w:rsidR="006B3DE0" w:rsidRDefault="006B3DE0" w:rsidP="006B3DE0">
      <w:pPr>
        <w:jc w:val="center"/>
        <w:rPr>
          <w:sz w:val="28"/>
          <w:szCs w:val="28"/>
        </w:rPr>
      </w:pPr>
      <w:r w:rsidRPr="006B3DE0">
        <w:rPr>
          <w:noProof/>
          <w:sz w:val="28"/>
          <w:szCs w:val="28"/>
        </w:rPr>
        <w:drawing>
          <wp:inline distT="0" distB="0" distL="0" distR="0" wp14:anchorId="1E8E491B" wp14:editId="03DE7DA9">
            <wp:extent cx="4662522" cy="2900384"/>
            <wp:effectExtent l="19050" t="19050" r="2413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2522" cy="2900384"/>
                    </a:xfrm>
                    <a:prstGeom prst="rect">
                      <a:avLst/>
                    </a:prstGeom>
                    <a:ln>
                      <a:solidFill>
                        <a:schemeClr val="accent1"/>
                      </a:solidFill>
                    </a:ln>
                  </pic:spPr>
                </pic:pic>
              </a:graphicData>
            </a:graphic>
          </wp:inline>
        </w:drawing>
      </w:r>
    </w:p>
    <w:p w:rsidR="00F90EDC" w:rsidRDefault="00F90EDC">
      <w:pPr>
        <w:rPr>
          <w:b/>
          <w:sz w:val="28"/>
          <w:szCs w:val="28"/>
        </w:rPr>
      </w:pPr>
      <w:r>
        <w:rPr>
          <w:b/>
          <w:sz w:val="28"/>
          <w:szCs w:val="28"/>
        </w:rPr>
        <w:br w:type="page"/>
      </w:r>
    </w:p>
    <w:p w:rsidR="004670B2" w:rsidRPr="00967605" w:rsidRDefault="004670B2" w:rsidP="007B2E65">
      <w:pPr>
        <w:spacing w:after="0"/>
        <w:rPr>
          <w:sz w:val="28"/>
          <w:szCs w:val="28"/>
        </w:rPr>
      </w:pPr>
      <w:r w:rsidRPr="00967605">
        <w:rPr>
          <w:b/>
          <w:sz w:val="28"/>
          <w:szCs w:val="28"/>
        </w:rPr>
        <w:lastRenderedPageBreak/>
        <w:t>FINAL REGULATIONS</w:t>
      </w:r>
      <w:r w:rsidR="008756E8">
        <w:rPr>
          <w:b/>
          <w:sz w:val="28"/>
          <w:szCs w:val="28"/>
        </w:rPr>
        <w:t>/RULES</w:t>
      </w:r>
    </w:p>
    <w:tbl>
      <w:tblPr>
        <w:tblStyle w:val="TableGrid"/>
        <w:tblW w:w="13176" w:type="dxa"/>
        <w:tblLook w:val="04A0" w:firstRow="1" w:lastRow="0" w:firstColumn="1" w:lastColumn="0" w:noHBand="0" w:noVBand="1"/>
      </w:tblPr>
      <w:tblGrid>
        <w:gridCol w:w="1278"/>
        <w:gridCol w:w="2250"/>
        <w:gridCol w:w="1440"/>
        <w:gridCol w:w="8208"/>
      </w:tblGrid>
      <w:tr w:rsidR="00AC6A22" w:rsidTr="00AC6A22">
        <w:tc>
          <w:tcPr>
            <w:tcW w:w="1278" w:type="dxa"/>
            <w:tcBorders>
              <w:top w:val="nil"/>
              <w:left w:val="nil"/>
              <w:right w:val="nil"/>
            </w:tcBorders>
          </w:tcPr>
          <w:p w:rsidR="00AC6A22" w:rsidRDefault="00AC6A22" w:rsidP="00413996">
            <w:pPr>
              <w:rPr>
                <w:b/>
              </w:rPr>
            </w:pPr>
            <w:r>
              <w:rPr>
                <w:b/>
              </w:rPr>
              <w:t>Effective Date</w:t>
            </w:r>
          </w:p>
        </w:tc>
        <w:tc>
          <w:tcPr>
            <w:tcW w:w="2250" w:type="dxa"/>
            <w:tcBorders>
              <w:top w:val="nil"/>
              <w:left w:val="nil"/>
              <w:right w:val="nil"/>
            </w:tcBorders>
          </w:tcPr>
          <w:p w:rsidR="00AC6A22" w:rsidRDefault="00AC6A22" w:rsidP="00413996">
            <w:pPr>
              <w:rPr>
                <w:b/>
              </w:rPr>
            </w:pPr>
            <w:r>
              <w:rPr>
                <w:b/>
              </w:rPr>
              <w:t>Regulation</w:t>
            </w:r>
          </w:p>
        </w:tc>
        <w:tc>
          <w:tcPr>
            <w:tcW w:w="1440" w:type="dxa"/>
            <w:tcBorders>
              <w:top w:val="nil"/>
              <w:left w:val="nil"/>
              <w:right w:val="nil"/>
            </w:tcBorders>
          </w:tcPr>
          <w:p w:rsidR="00AC6A22" w:rsidRDefault="00AC6A22" w:rsidP="00413996">
            <w:pPr>
              <w:rPr>
                <w:b/>
              </w:rPr>
            </w:pPr>
            <w:r>
              <w:rPr>
                <w:b/>
              </w:rPr>
              <w:t>Citation</w:t>
            </w:r>
          </w:p>
        </w:tc>
        <w:tc>
          <w:tcPr>
            <w:tcW w:w="8208" w:type="dxa"/>
            <w:tcBorders>
              <w:top w:val="nil"/>
              <w:left w:val="nil"/>
              <w:right w:val="nil"/>
            </w:tcBorders>
          </w:tcPr>
          <w:p w:rsidR="00AC6A22" w:rsidRDefault="00AC6A22" w:rsidP="00413996">
            <w:pPr>
              <w:rPr>
                <w:b/>
              </w:rPr>
            </w:pPr>
            <w:r>
              <w:rPr>
                <w:b/>
              </w:rPr>
              <w:t>Summary</w:t>
            </w:r>
          </w:p>
        </w:tc>
      </w:tr>
      <w:tr w:rsidR="00B532FB" w:rsidRPr="00967605" w:rsidTr="00AC6A22">
        <w:tc>
          <w:tcPr>
            <w:tcW w:w="1278" w:type="dxa"/>
          </w:tcPr>
          <w:p w:rsidR="00630DEC" w:rsidRPr="00891FE6" w:rsidRDefault="00630DEC" w:rsidP="00413996"/>
        </w:tc>
        <w:tc>
          <w:tcPr>
            <w:tcW w:w="2250" w:type="dxa"/>
          </w:tcPr>
          <w:p w:rsidR="00B532FB" w:rsidRDefault="00B532FB" w:rsidP="000C6F62"/>
        </w:tc>
        <w:tc>
          <w:tcPr>
            <w:tcW w:w="1440" w:type="dxa"/>
          </w:tcPr>
          <w:p w:rsidR="00B532FB" w:rsidRDefault="00B532FB" w:rsidP="006E10DB">
            <w:pPr>
              <w:spacing w:after="120"/>
            </w:pPr>
          </w:p>
        </w:tc>
        <w:tc>
          <w:tcPr>
            <w:tcW w:w="8208" w:type="dxa"/>
          </w:tcPr>
          <w:p w:rsidR="00630DEC" w:rsidRDefault="00933EB4" w:rsidP="000F5081">
            <w:r>
              <w:t xml:space="preserve"> </w:t>
            </w:r>
          </w:p>
        </w:tc>
      </w:tr>
    </w:tbl>
    <w:p w:rsidR="00CE26B8" w:rsidRPr="00CE26B8" w:rsidRDefault="00CE26B8" w:rsidP="000F5081">
      <w:pPr>
        <w:spacing w:after="0" w:line="240" w:lineRule="auto"/>
      </w:pPr>
    </w:p>
    <w:p w:rsidR="003B2BCF" w:rsidRDefault="00DC082C" w:rsidP="007B2E65">
      <w:pPr>
        <w:spacing w:before="240" w:after="0"/>
        <w:rPr>
          <w:b/>
          <w:sz w:val="28"/>
          <w:szCs w:val="28"/>
        </w:rPr>
      </w:pPr>
      <w:r>
        <w:rPr>
          <w:b/>
          <w:sz w:val="28"/>
          <w:szCs w:val="28"/>
        </w:rPr>
        <w:t>PROPOSED REGULATIONS</w:t>
      </w:r>
    </w:p>
    <w:tbl>
      <w:tblPr>
        <w:tblStyle w:val="TableGrid"/>
        <w:tblW w:w="13176" w:type="dxa"/>
        <w:tblLook w:val="04A0" w:firstRow="1" w:lastRow="0" w:firstColumn="1" w:lastColumn="0" w:noHBand="0" w:noVBand="1"/>
      </w:tblPr>
      <w:tblGrid>
        <w:gridCol w:w="1278"/>
        <w:gridCol w:w="2282"/>
        <w:gridCol w:w="1411"/>
        <w:gridCol w:w="8205"/>
      </w:tblGrid>
      <w:tr w:rsidR="00DC082C" w:rsidTr="00413996">
        <w:tc>
          <w:tcPr>
            <w:tcW w:w="1278" w:type="dxa"/>
            <w:tcBorders>
              <w:top w:val="nil"/>
              <w:left w:val="nil"/>
              <w:right w:val="nil"/>
            </w:tcBorders>
          </w:tcPr>
          <w:p w:rsidR="00DC082C" w:rsidRDefault="00DC082C" w:rsidP="00413996">
            <w:pPr>
              <w:rPr>
                <w:b/>
              </w:rPr>
            </w:pPr>
            <w:r>
              <w:rPr>
                <w:b/>
              </w:rPr>
              <w:t>Comments Due</w:t>
            </w:r>
          </w:p>
        </w:tc>
        <w:tc>
          <w:tcPr>
            <w:tcW w:w="2282" w:type="dxa"/>
            <w:tcBorders>
              <w:top w:val="nil"/>
              <w:left w:val="nil"/>
              <w:right w:val="nil"/>
            </w:tcBorders>
          </w:tcPr>
          <w:p w:rsidR="00DC082C" w:rsidRDefault="00DC082C" w:rsidP="00413996">
            <w:pPr>
              <w:rPr>
                <w:b/>
              </w:rPr>
            </w:pPr>
            <w:r>
              <w:rPr>
                <w:b/>
              </w:rPr>
              <w:t>Regulation</w:t>
            </w:r>
          </w:p>
        </w:tc>
        <w:tc>
          <w:tcPr>
            <w:tcW w:w="1411" w:type="dxa"/>
            <w:tcBorders>
              <w:top w:val="nil"/>
              <w:left w:val="nil"/>
              <w:right w:val="nil"/>
            </w:tcBorders>
          </w:tcPr>
          <w:p w:rsidR="00DC082C" w:rsidRDefault="00DC082C" w:rsidP="00413996">
            <w:pPr>
              <w:rPr>
                <w:b/>
              </w:rPr>
            </w:pPr>
            <w:r>
              <w:rPr>
                <w:b/>
              </w:rPr>
              <w:t>Citation</w:t>
            </w:r>
          </w:p>
        </w:tc>
        <w:tc>
          <w:tcPr>
            <w:tcW w:w="8205" w:type="dxa"/>
            <w:tcBorders>
              <w:top w:val="nil"/>
              <w:left w:val="nil"/>
              <w:right w:val="nil"/>
            </w:tcBorders>
          </w:tcPr>
          <w:p w:rsidR="00DC082C" w:rsidRDefault="00DC082C" w:rsidP="00413996">
            <w:pPr>
              <w:rPr>
                <w:b/>
              </w:rPr>
            </w:pPr>
            <w:r>
              <w:rPr>
                <w:b/>
              </w:rPr>
              <w:t>Summary</w:t>
            </w:r>
          </w:p>
        </w:tc>
      </w:tr>
      <w:tr w:rsidR="00152E97" w:rsidRPr="00967605" w:rsidTr="00413996">
        <w:tc>
          <w:tcPr>
            <w:tcW w:w="1278" w:type="dxa"/>
          </w:tcPr>
          <w:p w:rsidR="00152E97" w:rsidRPr="000E1F7A" w:rsidRDefault="00DB5E19" w:rsidP="00413996">
            <w:r>
              <w:t>TBD</w:t>
            </w:r>
          </w:p>
        </w:tc>
        <w:tc>
          <w:tcPr>
            <w:tcW w:w="2282" w:type="dxa"/>
          </w:tcPr>
          <w:p w:rsidR="00152E97" w:rsidRDefault="00AE3001" w:rsidP="00413996">
            <w:hyperlink r:id="rId10" w:history="1">
              <w:r w:rsidR="000E30FB" w:rsidRPr="00DB5E19">
                <w:rPr>
                  <w:rStyle w:val="Hyperlink"/>
                </w:rPr>
                <w:t>Regulation B</w:t>
              </w:r>
              <w:r w:rsidR="00DB5E19" w:rsidRPr="00DB5E19">
                <w:rPr>
                  <w:rStyle w:val="Hyperlink"/>
                </w:rPr>
                <w:t xml:space="preserve"> (ECOA)</w:t>
              </w:r>
            </w:hyperlink>
          </w:p>
        </w:tc>
        <w:tc>
          <w:tcPr>
            <w:tcW w:w="1411" w:type="dxa"/>
          </w:tcPr>
          <w:p w:rsidR="00152E97" w:rsidRPr="000E1F7A" w:rsidRDefault="00DB5E19" w:rsidP="00413996">
            <w:r>
              <w:t>TBD</w:t>
            </w:r>
          </w:p>
        </w:tc>
        <w:tc>
          <w:tcPr>
            <w:tcW w:w="8205" w:type="dxa"/>
          </w:tcPr>
          <w:p w:rsidR="00152E97" w:rsidRDefault="00DB5E19" w:rsidP="00413996">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Aligns Regulation B with the new requirements for Regulation C and HMDA reporting.</w:t>
            </w:r>
          </w:p>
        </w:tc>
      </w:tr>
      <w:tr w:rsidR="00113262" w:rsidRPr="00967605" w:rsidTr="00413996">
        <w:tc>
          <w:tcPr>
            <w:tcW w:w="1278" w:type="dxa"/>
          </w:tcPr>
          <w:p w:rsidR="00113262" w:rsidRDefault="00DB5E19" w:rsidP="00413996">
            <w:r>
              <w:t>04/05/2017</w:t>
            </w:r>
          </w:p>
        </w:tc>
        <w:tc>
          <w:tcPr>
            <w:tcW w:w="2282" w:type="dxa"/>
          </w:tcPr>
          <w:p w:rsidR="00113262" w:rsidRDefault="00DB5E19" w:rsidP="00413996">
            <w:r>
              <w:t>Regulation E &amp; Z – Prepaid Rule</w:t>
            </w:r>
          </w:p>
        </w:tc>
        <w:tc>
          <w:tcPr>
            <w:tcW w:w="1411" w:type="dxa"/>
          </w:tcPr>
          <w:p w:rsidR="00113262" w:rsidRDefault="00AE3001" w:rsidP="00413996">
            <w:hyperlink r:id="rId11" w:history="1">
              <w:r w:rsidR="004801A3" w:rsidRPr="004801A3">
                <w:rPr>
                  <w:rStyle w:val="Hyperlink"/>
                </w:rPr>
                <w:t>82 FR 13782</w:t>
              </w:r>
            </w:hyperlink>
          </w:p>
        </w:tc>
        <w:tc>
          <w:tcPr>
            <w:tcW w:w="8205" w:type="dxa"/>
          </w:tcPr>
          <w:p w:rsidR="00113262" w:rsidRPr="00152E97" w:rsidRDefault="00DB5E19" w:rsidP="00413996">
            <w:pPr>
              <w:pStyle w:val="NormalWeb"/>
              <w:spacing w:before="0" w:beforeAutospacing="0" w:after="0" w:afterAutospacing="0"/>
              <w:rPr>
                <w:rFonts w:asciiTheme="minorHAnsi" w:eastAsiaTheme="minorEastAsia" w:hAnsiTheme="minorHAnsi" w:cstheme="minorBidi"/>
                <w:sz w:val="22"/>
                <w:szCs w:val="22"/>
              </w:rPr>
            </w:pPr>
            <w:r w:rsidRPr="00DB5E19">
              <w:rPr>
                <w:rFonts w:asciiTheme="minorHAnsi" w:eastAsiaTheme="minorEastAsia" w:hAnsiTheme="minorHAnsi" w:cstheme="minorBidi"/>
                <w:sz w:val="22"/>
                <w:szCs w:val="22"/>
              </w:rPr>
              <w:t>The CFPB has proposed delaying the effective date of its final rule on covered prepaid accounts.  The delay would move the effective date from O</w:t>
            </w:r>
            <w:r>
              <w:rPr>
                <w:rFonts w:asciiTheme="minorHAnsi" w:eastAsiaTheme="minorEastAsia" w:hAnsiTheme="minorHAnsi" w:cstheme="minorBidi"/>
                <w:sz w:val="22"/>
                <w:szCs w:val="22"/>
              </w:rPr>
              <w:t>ctober 1, 2017 to April 1, 2018, to allow industry to comply with the requirements.</w:t>
            </w:r>
          </w:p>
        </w:tc>
      </w:tr>
      <w:tr w:rsidR="00DD09C7" w:rsidRPr="00967605" w:rsidTr="00413996">
        <w:tc>
          <w:tcPr>
            <w:tcW w:w="1278" w:type="dxa"/>
          </w:tcPr>
          <w:p w:rsidR="00DD09C7" w:rsidRDefault="00DD09C7" w:rsidP="00413996"/>
        </w:tc>
        <w:tc>
          <w:tcPr>
            <w:tcW w:w="2282" w:type="dxa"/>
          </w:tcPr>
          <w:p w:rsidR="00DD09C7" w:rsidRDefault="00DD09C7" w:rsidP="00413996"/>
        </w:tc>
        <w:tc>
          <w:tcPr>
            <w:tcW w:w="1411" w:type="dxa"/>
          </w:tcPr>
          <w:p w:rsidR="00DD09C7" w:rsidRDefault="00DD09C7" w:rsidP="00413996"/>
        </w:tc>
        <w:tc>
          <w:tcPr>
            <w:tcW w:w="8205" w:type="dxa"/>
          </w:tcPr>
          <w:p w:rsidR="00DD09C7" w:rsidRDefault="00DD09C7" w:rsidP="00413996">
            <w:pPr>
              <w:pStyle w:val="NormalWeb"/>
              <w:spacing w:before="0" w:beforeAutospacing="0" w:after="0" w:afterAutospacing="0"/>
              <w:rPr>
                <w:rFonts w:asciiTheme="minorHAnsi" w:eastAsiaTheme="minorEastAsia" w:hAnsiTheme="minorHAnsi" w:cstheme="minorBidi"/>
                <w:sz w:val="22"/>
                <w:szCs w:val="22"/>
              </w:rPr>
            </w:pPr>
          </w:p>
        </w:tc>
      </w:tr>
    </w:tbl>
    <w:p w:rsidR="000C6F62" w:rsidRDefault="000C6F62" w:rsidP="000C6F62">
      <w:pPr>
        <w:spacing w:before="240" w:after="0"/>
        <w:rPr>
          <w:b/>
          <w:sz w:val="28"/>
          <w:szCs w:val="28"/>
        </w:rPr>
      </w:pPr>
      <w:r>
        <w:rPr>
          <w:b/>
          <w:sz w:val="28"/>
          <w:szCs w:val="28"/>
        </w:rPr>
        <w:t>RESOURCES</w:t>
      </w:r>
      <w:r w:rsidR="008756E8">
        <w:rPr>
          <w:b/>
          <w:sz w:val="28"/>
          <w:szCs w:val="28"/>
        </w:rPr>
        <w:t>/GUIDANCE</w:t>
      </w:r>
    </w:p>
    <w:tbl>
      <w:tblPr>
        <w:tblStyle w:val="TableGrid"/>
        <w:tblW w:w="13158" w:type="dxa"/>
        <w:tblLook w:val="04A0" w:firstRow="1" w:lastRow="0" w:firstColumn="1" w:lastColumn="0" w:noHBand="0" w:noVBand="1"/>
      </w:tblPr>
      <w:tblGrid>
        <w:gridCol w:w="2283"/>
        <w:gridCol w:w="10875"/>
      </w:tblGrid>
      <w:tr w:rsidR="000C6F62" w:rsidTr="000C6F62">
        <w:tc>
          <w:tcPr>
            <w:tcW w:w="2283" w:type="dxa"/>
            <w:tcBorders>
              <w:top w:val="nil"/>
              <w:left w:val="nil"/>
              <w:right w:val="nil"/>
            </w:tcBorders>
          </w:tcPr>
          <w:p w:rsidR="000C6F62" w:rsidRDefault="000C6F62" w:rsidP="00413996">
            <w:pPr>
              <w:rPr>
                <w:b/>
              </w:rPr>
            </w:pPr>
            <w:r>
              <w:rPr>
                <w:b/>
              </w:rPr>
              <w:t>Guidance</w:t>
            </w:r>
          </w:p>
        </w:tc>
        <w:tc>
          <w:tcPr>
            <w:tcW w:w="10875" w:type="dxa"/>
            <w:tcBorders>
              <w:top w:val="nil"/>
              <w:left w:val="nil"/>
              <w:right w:val="nil"/>
            </w:tcBorders>
          </w:tcPr>
          <w:p w:rsidR="000C6F62" w:rsidRDefault="000C6F62" w:rsidP="00413996">
            <w:pPr>
              <w:rPr>
                <w:b/>
              </w:rPr>
            </w:pPr>
            <w:r>
              <w:rPr>
                <w:b/>
              </w:rPr>
              <w:t>Summary</w:t>
            </w:r>
          </w:p>
        </w:tc>
      </w:tr>
      <w:tr w:rsidR="009C5026" w:rsidRPr="00967605" w:rsidTr="000C6F62">
        <w:tc>
          <w:tcPr>
            <w:tcW w:w="2283" w:type="dxa"/>
          </w:tcPr>
          <w:p w:rsidR="009C5026" w:rsidRDefault="00AE3001" w:rsidP="00413996">
            <w:hyperlink r:id="rId12" w:history="1">
              <w:r w:rsidR="000E30FB" w:rsidRPr="000E30FB">
                <w:rPr>
                  <w:rStyle w:val="Hyperlink"/>
                </w:rPr>
                <w:t>.creditunion</w:t>
              </w:r>
            </w:hyperlink>
          </w:p>
        </w:tc>
        <w:tc>
          <w:tcPr>
            <w:tcW w:w="10875" w:type="dxa"/>
          </w:tcPr>
          <w:p w:rsidR="009C5026" w:rsidRDefault="000E30FB" w:rsidP="006908C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Beginning this summer, credit unions can register and use a .creditunion domain name.  The domain will be available to all U.S. credit unions through approved ICANN accredited registrars.  Credit unions with qualified trademark rights will be able to register their domains beginning in May, and all others will be able to register starting in June.</w:t>
            </w:r>
          </w:p>
        </w:tc>
      </w:tr>
      <w:tr w:rsidR="006B3DE0" w:rsidRPr="00967605" w:rsidTr="000C6F62">
        <w:tc>
          <w:tcPr>
            <w:tcW w:w="2283" w:type="dxa"/>
          </w:tcPr>
          <w:p w:rsidR="006B3DE0" w:rsidRDefault="00AE3001" w:rsidP="00413996">
            <w:hyperlink r:id="rId13" w:history="1">
              <w:r w:rsidR="000E30FB" w:rsidRPr="000E30FB">
                <w:rPr>
                  <w:rStyle w:val="Hyperlink"/>
                </w:rPr>
                <w:t>NASCUC Executive Forum</w:t>
              </w:r>
            </w:hyperlink>
          </w:p>
        </w:tc>
        <w:tc>
          <w:tcPr>
            <w:tcW w:w="10875" w:type="dxa"/>
          </w:tcPr>
          <w:p w:rsidR="006B3DE0" w:rsidRPr="00A13CB2" w:rsidRDefault="000E30FB" w:rsidP="006908C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May 23, 2017 in SeaTac, WA.</w:t>
            </w:r>
          </w:p>
        </w:tc>
      </w:tr>
      <w:tr w:rsidR="001F2A05" w:rsidRPr="00967605" w:rsidTr="000C6F62">
        <w:tc>
          <w:tcPr>
            <w:tcW w:w="2283" w:type="dxa"/>
          </w:tcPr>
          <w:p w:rsidR="001F2A05" w:rsidRDefault="00AE3001" w:rsidP="00413996">
            <w:hyperlink r:id="rId14" w:history="1">
              <w:r w:rsidR="000E30FB" w:rsidRPr="000E30FB">
                <w:rPr>
                  <w:rStyle w:val="Hyperlink"/>
                </w:rPr>
                <w:t>NASCUS Cybersecurity Symposium</w:t>
              </w:r>
            </w:hyperlink>
          </w:p>
        </w:tc>
        <w:tc>
          <w:tcPr>
            <w:tcW w:w="10875" w:type="dxa"/>
          </w:tcPr>
          <w:p w:rsidR="001F2A05" w:rsidRDefault="000E30FB" w:rsidP="006908C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June 5-6, 2017 in San Diego, CA.</w:t>
            </w:r>
          </w:p>
        </w:tc>
      </w:tr>
      <w:tr w:rsidR="00F067FC" w:rsidRPr="00967605" w:rsidTr="000C6F62">
        <w:tc>
          <w:tcPr>
            <w:tcW w:w="2283" w:type="dxa"/>
          </w:tcPr>
          <w:p w:rsidR="00F067FC" w:rsidRDefault="00AE3001" w:rsidP="00413996">
            <w:hyperlink r:id="rId15" w:history="1">
              <w:r w:rsidR="00DB5E19" w:rsidRPr="00DB5E19">
                <w:rPr>
                  <w:rStyle w:val="Hyperlink"/>
                </w:rPr>
                <w:t>WA DCU Bulletin B-17-06</w:t>
              </w:r>
            </w:hyperlink>
          </w:p>
        </w:tc>
        <w:tc>
          <w:tcPr>
            <w:tcW w:w="10875" w:type="dxa"/>
          </w:tcPr>
          <w:p w:rsidR="00F067FC" w:rsidRDefault="00DB5E19" w:rsidP="006908C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The DCU and the NCUA will work together, to cut down on duplicate requests, when obtaining a copy of the credit union’s audit report directly from the auditor.  </w:t>
            </w:r>
          </w:p>
        </w:tc>
      </w:tr>
      <w:tr w:rsidR="00033069" w:rsidRPr="00967605" w:rsidTr="000C6F62">
        <w:tc>
          <w:tcPr>
            <w:tcW w:w="2283" w:type="dxa"/>
          </w:tcPr>
          <w:p w:rsidR="00033069" w:rsidRDefault="00AE3001" w:rsidP="00413996">
            <w:hyperlink r:id="rId16" w:history="1">
              <w:r w:rsidR="00DB5E19" w:rsidRPr="00DB5E19">
                <w:rPr>
                  <w:rStyle w:val="Hyperlink"/>
                </w:rPr>
                <w:t>WA DCU Bulletin B-17-07</w:t>
              </w:r>
            </w:hyperlink>
          </w:p>
        </w:tc>
        <w:tc>
          <w:tcPr>
            <w:tcW w:w="10875" w:type="dxa"/>
          </w:tcPr>
          <w:p w:rsidR="00033069" w:rsidRDefault="00DB5E19" w:rsidP="00215590">
            <w:pPr>
              <w:pStyle w:val="NormalWeb"/>
              <w:shd w:val="clear" w:color="auto" w:fill="FFFFFF"/>
              <w:spacing w:before="0" w:beforeAutospacing="0" w:after="0" w:afterAutospacing="0"/>
              <w:textAlignment w:val="baseline"/>
              <w:rPr>
                <w:rFonts w:asciiTheme="minorHAnsi" w:hAnsiTheme="minorHAnsi" w:cs="Arial"/>
                <w:sz w:val="22"/>
                <w:szCs w:val="22"/>
                <w:shd w:val="clear" w:color="auto" w:fill="FFFFFF"/>
              </w:rPr>
            </w:pPr>
            <w:r w:rsidRPr="00DB5E19">
              <w:rPr>
                <w:rFonts w:asciiTheme="minorHAnsi" w:hAnsiTheme="minorHAnsi" w:cs="Arial"/>
                <w:sz w:val="22"/>
                <w:szCs w:val="22"/>
                <w:shd w:val="clear" w:color="auto" w:fill="FFFFFF"/>
              </w:rPr>
              <w:t xml:space="preserve">To strike a balance between the CALL Report Instructions and the AGO (i.e., accounting for repossessions at the time of repossession versus after a redemption period), </w:t>
            </w:r>
            <w:r>
              <w:rPr>
                <w:rFonts w:asciiTheme="minorHAnsi" w:hAnsiTheme="minorHAnsi" w:cs="Arial"/>
                <w:sz w:val="22"/>
                <w:szCs w:val="22"/>
                <w:shd w:val="clear" w:color="auto" w:fill="FFFFFF"/>
              </w:rPr>
              <w:t>the Washington State Attorney General’s Office</w:t>
            </w:r>
            <w:r w:rsidRPr="00DB5E19">
              <w:rPr>
                <w:rFonts w:asciiTheme="minorHAnsi" w:hAnsiTheme="minorHAnsi" w:cs="Arial"/>
                <w:sz w:val="22"/>
                <w:szCs w:val="22"/>
                <w:shd w:val="clear" w:color="auto" w:fill="FFFFFF"/>
              </w:rPr>
              <w:t xml:space="preserve"> recommend that within 30 days after repossession, the auto loan balance should be recorded in accordance with Generally Accepted Accounting Procedures (GAAP) and the CALL Report Instructions.</w:t>
            </w:r>
          </w:p>
        </w:tc>
      </w:tr>
      <w:tr w:rsidR="00863C31" w:rsidRPr="00967605" w:rsidTr="000C6F62">
        <w:tc>
          <w:tcPr>
            <w:tcW w:w="2283" w:type="dxa"/>
          </w:tcPr>
          <w:p w:rsidR="00863C31" w:rsidRDefault="00AE3001" w:rsidP="00413996">
            <w:hyperlink r:id="rId17" w:history="1">
              <w:r w:rsidR="00854729" w:rsidRPr="00854729">
                <w:rPr>
                  <w:rStyle w:val="Hyperlink"/>
                </w:rPr>
                <w:t>Credit Risk Trends</w:t>
              </w:r>
            </w:hyperlink>
          </w:p>
        </w:tc>
        <w:tc>
          <w:tcPr>
            <w:tcW w:w="10875" w:type="dxa"/>
          </w:tcPr>
          <w:p w:rsidR="00863C31" w:rsidRPr="00AD5AFA" w:rsidRDefault="00854729" w:rsidP="00033069">
            <w:pPr>
              <w:pStyle w:val="Heading2"/>
              <w:shd w:val="clear" w:color="auto" w:fill="FFFFFF"/>
              <w:spacing w:before="0" w:line="240" w:lineRule="atLeast"/>
              <w:textAlignment w:val="baseline"/>
              <w:outlineLvl w:val="1"/>
              <w:rPr>
                <w:rFonts w:asciiTheme="minorHAnsi" w:hAnsiTheme="minorHAnsi" w:cstheme="minorHAnsi"/>
                <w:color w:val="262626"/>
                <w:sz w:val="22"/>
                <w:szCs w:val="22"/>
              </w:rPr>
            </w:pPr>
            <w:r w:rsidRPr="00854729">
              <w:rPr>
                <w:rFonts w:asciiTheme="minorHAnsi" w:hAnsiTheme="minorHAnsi" w:cstheme="minorHAnsi"/>
                <w:color w:val="262626"/>
                <w:sz w:val="22"/>
                <w:szCs w:val="22"/>
              </w:rPr>
              <w:t xml:space="preserve">The FDIC’s Winter 2016 Supervisory Insights includes an article titled Credit Risk Trends and Supervisory Expectation </w:t>
            </w:r>
            <w:r w:rsidRPr="00854729">
              <w:rPr>
                <w:rFonts w:asciiTheme="minorHAnsi" w:hAnsiTheme="minorHAnsi" w:cstheme="minorHAnsi"/>
                <w:color w:val="262626"/>
                <w:sz w:val="22"/>
                <w:szCs w:val="22"/>
              </w:rPr>
              <w:lastRenderedPageBreak/>
              <w:t>Highlights, that identifies credit risk trends in commercial real estate along with agriculture, and oil and gas-related lending.  The article contains good  information regarding the conditions and trends in each of these areas, and is a recommended read for the policy makers in your institution.</w:t>
            </w:r>
          </w:p>
        </w:tc>
      </w:tr>
      <w:tr w:rsidR="00E84648" w:rsidRPr="00967605" w:rsidTr="000C6F62">
        <w:tc>
          <w:tcPr>
            <w:tcW w:w="2283" w:type="dxa"/>
          </w:tcPr>
          <w:p w:rsidR="00E84648" w:rsidRDefault="00AE3001" w:rsidP="00413996">
            <w:hyperlink r:id="rId18" w:history="1">
              <w:r w:rsidR="00854729" w:rsidRPr="00854729">
                <w:rPr>
                  <w:rStyle w:val="Hyperlink"/>
                </w:rPr>
                <w:t>Prepaid Rule – Short Form Disclosure Guide</w:t>
              </w:r>
            </w:hyperlink>
          </w:p>
        </w:tc>
        <w:tc>
          <w:tcPr>
            <w:tcW w:w="10875" w:type="dxa"/>
          </w:tcPr>
          <w:p w:rsidR="00E84648" w:rsidRDefault="00854729" w:rsidP="006908CC">
            <w:pPr>
              <w:pStyle w:val="NormalWeb"/>
              <w:spacing w:after="0"/>
              <w:rPr>
                <w:rFonts w:asciiTheme="minorHAnsi" w:hAnsiTheme="minorHAnsi" w:cs="Arial"/>
                <w:sz w:val="22"/>
                <w:szCs w:val="22"/>
                <w:shd w:val="clear" w:color="auto" w:fill="FFFFFF"/>
              </w:rPr>
            </w:pPr>
            <w:r w:rsidRPr="00854729">
              <w:rPr>
                <w:rFonts w:asciiTheme="minorHAnsi" w:hAnsiTheme="minorHAnsi" w:cs="Arial"/>
                <w:sz w:val="22"/>
                <w:szCs w:val="22"/>
                <w:shd w:val="clear" w:color="auto" w:fill="FFFFFF"/>
              </w:rPr>
              <w:t>On January 31, the CFPB released a guide for preparing the short form disclosure for prepaid accounts.  The guide is based on Regulation E’s Model Form A-10(c) and provides basic “how to” instructions to help financial institutions prepare short form disclosures for prepaid accounts.  The CFPB also has a page dedicated to the Prepaid Rule that includes a small entity guide, coverage chart, and other useful information for the credit union.  Most of the requirements of the Prepaid rule are</w:t>
            </w:r>
            <w:r>
              <w:rPr>
                <w:rFonts w:asciiTheme="minorHAnsi" w:hAnsiTheme="minorHAnsi" w:cs="Arial"/>
                <w:sz w:val="22"/>
                <w:szCs w:val="22"/>
                <w:shd w:val="clear" w:color="auto" w:fill="FFFFFF"/>
              </w:rPr>
              <w:t xml:space="preserve"> effective date October 1, 2017 (April 1, 2018)</w:t>
            </w:r>
          </w:p>
        </w:tc>
      </w:tr>
      <w:tr w:rsidR="00152E97" w:rsidRPr="00967605" w:rsidTr="000C6F62">
        <w:tc>
          <w:tcPr>
            <w:tcW w:w="2283" w:type="dxa"/>
          </w:tcPr>
          <w:p w:rsidR="00152E97" w:rsidRDefault="00152E97" w:rsidP="00413996"/>
        </w:tc>
        <w:tc>
          <w:tcPr>
            <w:tcW w:w="10875" w:type="dxa"/>
          </w:tcPr>
          <w:p w:rsidR="00152E97" w:rsidRDefault="00152E97" w:rsidP="006908CC">
            <w:pPr>
              <w:pStyle w:val="NormalWeb"/>
              <w:spacing w:after="0"/>
              <w:rPr>
                <w:rFonts w:asciiTheme="minorHAnsi" w:hAnsiTheme="minorHAnsi" w:cs="Arial"/>
                <w:sz w:val="22"/>
                <w:szCs w:val="22"/>
                <w:shd w:val="clear" w:color="auto" w:fill="FFFFFF"/>
              </w:rPr>
            </w:pPr>
          </w:p>
        </w:tc>
      </w:tr>
    </w:tbl>
    <w:p w:rsidR="006A2918" w:rsidRDefault="006A2918" w:rsidP="00D1188B"/>
    <w:tbl>
      <w:tblPr>
        <w:tblStyle w:val="TableGrid"/>
        <w:tblW w:w="13078" w:type="dxa"/>
        <w:tblLook w:val="04A0" w:firstRow="1" w:lastRow="0" w:firstColumn="1" w:lastColumn="0" w:noHBand="0" w:noVBand="1"/>
      </w:tblPr>
      <w:tblGrid>
        <w:gridCol w:w="2172"/>
        <w:gridCol w:w="6545"/>
        <w:gridCol w:w="4361"/>
      </w:tblGrid>
      <w:tr w:rsidR="00F517EF" w:rsidTr="00F517EF">
        <w:trPr>
          <w:trHeight w:val="236"/>
        </w:trPr>
        <w:tc>
          <w:tcPr>
            <w:tcW w:w="13078" w:type="dxa"/>
            <w:gridSpan w:val="3"/>
            <w:shd w:val="clear" w:color="auto" w:fill="4F81BD" w:themeFill="accent1"/>
          </w:tcPr>
          <w:p w:rsidR="00F517EF" w:rsidRDefault="00F517EF" w:rsidP="006A2918">
            <w:pPr>
              <w:keepLines/>
              <w:jc w:val="center"/>
            </w:pPr>
            <w:r w:rsidRPr="003F6BB7">
              <w:rPr>
                <w:color w:val="FFFFFF" w:themeColor="background1"/>
              </w:rPr>
              <w:t>Oregon</w:t>
            </w:r>
          </w:p>
        </w:tc>
      </w:tr>
      <w:tr w:rsidR="00DB5E19" w:rsidTr="006A2918">
        <w:trPr>
          <w:trHeight w:val="944"/>
        </w:trPr>
        <w:tc>
          <w:tcPr>
            <w:tcW w:w="2172" w:type="dxa"/>
          </w:tcPr>
          <w:p w:rsidR="00DB5E19" w:rsidRDefault="00AE3001" w:rsidP="006A2918">
            <w:pPr>
              <w:keepLines/>
            </w:pPr>
            <w:hyperlink r:id="rId19" w:history="1">
              <w:r w:rsidR="00DB5E19" w:rsidRPr="00DB5E19">
                <w:rPr>
                  <w:rStyle w:val="Hyperlink"/>
                </w:rPr>
                <w:t>HB 2581</w:t>
              </w:r>
            </w:hyperlink>
          </w:p>
        </w:tc>
        <w:tc>
          <w:tcPr>
            <w:tcW w:w="6545" w:type="dxa"/>
          </w:tcPr>
          <w:p w:rsidR="00DB5E19" w:rsidRPr="006A2918" w:rsidRDefault="00DB5E19" w:rsidP="006A2918">
            <w:pPr>
              <w:keepLines/>
            </w:pPr>
            <w:r>
              <w:t>W</w:t>
            </w:r>
            <w:r w:rsidRPr="00DB5E19">
              <w:t>ould require a person that possesses or has access to account information to report breach of security to the financial institution that issued financial access device.  Person includes:  an individual, a private or public corporation, partnership, cooperative, association, estate, limited liability company, organization or other entity.</w:t>
            </w:r>
          </w:p>
        </w:tc>
        <w:tc>
          <w:tcPr>
            <w:tcW w:w="4361" w:type="dxa"/>
          </w:tcPr>
          <w:p w:rsidR="00DB5E19" w:rsidRDefault="00AE3001" w:rsidP="006A2918">
            <w:pPr>
              <w:keepLines/>
            </w:pPr>
            <w:r>
              <w:t>First reading</w:t>
            </w:r>
          </w:p>
        </w:tc>
      </w:tr>
      <w:tr w:rsidR="006A2918" w:rsidTr="006A2918">
        <w:trPr>
          <w:trHeight w:val="944"/>
        </w:trPr>
        <w:tc>
          <w:tcPr>
            <w:tcW w:w="2172" w:type="dxa"/>
          </w:tcPr>
          <w:p w:rsidR="006A2918" w:rsidRDefault="00AE3001" w:rsidP="006A2918">
            <w:pPr>
              <w:keepLines/>
            </w:pPr>
            <w:hyperlink r:id="rId20" w:history="1">
              <w:r w:rsidR="006A2918" w:rsidRPr="006A2918">
                <w:rPr>
                  <w:rStyle w:val="Hyperlink"/>
                </w:rPr>
                <w:t>HB 2161</w:t>
              </w:r>
            </w:hyperlink>
          </w:p>
        </w:tc>
        <w:tc>
          <w:tcPr>
            <w:tcW w:w="6545" w:type="dxa"/>
          </w:tcPr>
          <w:p w:rsidR="006A2918" w:rsidRPr="000014AF" w:rsidRDefault="006A2918" w:rsidP="006A2918">
            <w:pPr>
              <w:keepLines/>
            </w:pPr>
            <w:r w:rsidRPr="006A2918">
              <w:t>Included in the Bill are a provision allowing the expulsion of a member that creates undue risk of loss, the elimination of the requirement that the credit union’s board of directors meets 10 times a year, and changes the date for exercise by state credit unions of powers available to federal credit unions without director approval to January 1, 2017, from January 1, 2013.</w:t>
            </w:r>
          </w:p>
        </w:tc>
        <w:tc>
          <w:tcPr>
            <w:tcW w:w="4361" w:type="dxa"/>
          </w:tcPr>
          <w:p w:rsidR="006A2918" w:rsidRDefault="00D84E99" w:rsidP="006A2918">
            <w:pPr>
              <w:keepLines/>
            </w:pPr>
            <w:r>
              <w:t xml:space="preserve">Passed House, </w:t>
            </w:r>
            <w:r w:rsidR="00AE3001">
              <w:t>r</w:t>
            </w:r>
            <w:bookmarkStart w:id="0" w:name="_GoBack"/>
            <w:bookmarkEnd w:id="0"/>
            <w:r w:rsidR="006A2918">
              <w:t xml:space="preserve">eferred to </w:t>
            </w:r>
            <w:r>
              <w:t>President’s</w:t>
            </w:r>
            <w:r w:rsidR="006A2918">
              <w:t xml:space="preserve"> desk</w:t>
            </w:r>
          </w:p>
        </w:tc>
      </w:tr>
      <w:tr w:rsidR="00F517EF" w:rsidTr="006A2918">
        <w:trPr>
          <w:trHeight w:val="944"/>
        </w:trPr>
        <w:tc>
          <w:tcPr>
            <w:tcW w:w="2172" w:type="dxa"/>
          </w:tcPr>
          <w:p w:rsidR="00F517EF" w:rsidRDefault="00AE3001" w:rsidP="006A2918">
            <w:pPr>
              <w:keepLines/>
            </w:pPr>
            <w:hyperlink r:id="rId21" w:history="1">
              <w:r w:rsidR="00F517EF" w:rsidRPr="000014AF">
                <w:rPr>
                  <w:rStyle w:val="Hyperlink"/>
                </w:rPr>
                <w:t>HB 2359</w:t>
              </w:r>
            </w:hyperlink>
          </w:p>
        </w:tc>
        <w:tc>
          <w:tcPr>
            <w:tcW w:w="6545" w:type="dxa"/>
          </w:tcPr>
          <w:p w:rsidR="00F517EF" w:rsidRDefault="00F517EF" w:rsidP="006A2918">
            <w:pPr>
              <w:keepLines/>
            </w:pPr>
            <w:r w:rsidRPr="000014AF">
              <w:t>Removes requirement for beneficiary in trust deed to send, and Attorney General to receive, copy of notice that beneficiary has denied grantor's eligibility for foreclosure avoidance measure.</w:t>
            </w:r>
          </w:p>
        </w:tc>
        <w:tc>
          <w:tcPr>
            <w:tcW w:w="4361" w:type="dxa"/>
          </w:tcPr>
          <w:p w:rsidR="00F517EF" w:rsidRDefault="00A371E4" w:rsidP="006A2918">
            <w:pPr>
              <w:keepLines/>
            </w:pPr>
            <w:r>
              <w:t>Third</w:t>
            </w:r>
            <w:r w:rsidR="00F517EF">
              <w:t xml:space="preserve"> reading</w:t>
            </w:r>
          </w:p>
        </w:tc>
      </w:tr>
      <w:tr w:rsidR="00F517EF" w:rsidTr="006A2918">
        <w:trPr>
          <w:trHeight w:val="236"/>
        </w:trPr>
        <w:tc>
          <w:tcPr>
            <w:tcW w:w="2172" w:type="dxa"/>
          </w:tcPr>
          <w:p w:rsidR="00F517EF" w:rsidRDefault="00AE3001" w:rsidP="006A2918">
            <w:pPr>
              <w:keepLines/>
            </w:pPr>
            <w:hyperlink r:id="rId22" w:history="1">
              <w:r w:rsidR="00F517EF" w:rsidRPr="000014AF">
                <w:rPr>
                  <w:rStyle w:val="Hyperlink"/>
                </w:rPr>
                <w:t>HB 2624</w:t>
              </w:r>
            </w:hyperlink>
          </w:p>
        </w:tc>
        <w:tc>
          <w:tcPr>
            <w:tcW w:w="6545" w:type="dxa"/>
          </w:tcPr>
          <w:p w:rsidR="00F517EF" w:rsidRDefault="00F517EF" w:rsidP="006A2918">
            <w:pPr>
              <w:keepLines/>
            </w:pPr>
            <w:r w:rsidRPr="000014AF">
              <w:t>Exempts out-of-state banks, extranational institutions and foreign associations from requirement to file notice before dealing in notes secured by mortgages or trust deeds, if authorized to conduct banking business in this state by certificate of Department of Consumer and Business Services.</w:t>
            </w:r>
          </w:p>
        </w:tc>
        <w:tc>
          <w:tcPr>
            <w:tcW w:w="4361" w:type="dxa"/>
          </w:tcPr>
          <w:p w:rsidR="00F517EF" w:rsidRDefault="00F517EF" w:rsidP="006A2918">
            <w:pPr>
              <w:keepLines/>
            </w:pPr>
            <w:r>
              <w:t>Second reading</w:t>
            </w:r>
          </w:p>
        </w:tc>
      </w:tr>
      <w:tr w:rsidR="00F517EF" w:rsidTr="006A2918">
        <w:trPr>
          <w:trHeight w:val="242"/>
        </w:trPr>
        <w:tc>
          <w:tcPr>
            <w:tcW w:w="2172" w:type="dxa"/>
          </w:tcPr>
          <w:p w:rsidR="00F517EF" w:rsidRDefault="00AE3001" w:rsidP="006A2918">
            <w:pPr>
              <w:keepLines/>
            </w:pPr>
            <w:hyperlink r:id="rId23" w:history="1">
              <w:r w:rsidR="00F517EF" w:rsidRPr="000014AF">
                <w:rPr>
                  <w:rStyle w:val="Hyperlink"/>
                </w:rPr>
                <w:t>HB 2622</w:t>
              </w:r>
            </w:hyperlink>
          </w:p>
        </w:tc>
        <w:tc>
          <w:tcPr>
            <w:tcW w:w="6545" w:type="dxa"/>
          </w:tcPr>
          <w:p w:rsidR="00F517EF" w:rsidRDefault="00F517EF" w:rsidP="006A2918">
            <w:pPr>
              <w:keepLines/>
            </w:pPr>
            <w:r w:rsidRPr="000014AF">
              <w:t xml:space="preserve">Authorizes financial institution to refuse certain financial transactions </w:t>
            </w:r>
            <w:r w:rsidRPr="000014AF">
              <w:lastRenderedPageBreak/>
              <w:t>when financial institution reasonably believes financial exploitation of vulnerable person may have occurred, may have been attempted or is being attempted.</w:t>
            </w:r>
          </w:p>
        </w:tc>
        <w:tc>
          <w:tcPr>
            <w:tcW w:w="4361" w:type="dxa"/>
          </w:tcPr>
          <w:p w:rsidR="00F517EF" w:rsidRDefault="00F517EF" w:rsidP="006A2918">
            <w:pPr>
              <w:keepLines/>
            </w:pPr>
            <w:r>
              <w:lastRenderedPageBreak/>
              <w:t>Work session scheduled</w:t>
            </w:r>
          </w:p>
        </w:tc>
      </w:tr>
      <w:tr w:rsidR="00F517EF" w:rsidTr="006A2918">
        <w:trPr>
          <w:trHeight w:val="236"/>
        </w:trPr>
        <w:tc>
          <w:tcPr>
            <w:tcW w:w="2172" w:type="dxa"/>
          </w:tcPr>
          <w:p w:rsidR="00F517EF" w:rsidRDefault="00AE3001" w:rsidP="006A2918">
            <w:pPr>
              <w:keepLines/>
            </w:pPr>
            <w:hyperlink r:id="rId24" w:history="1">
              <w:r w:rsidR="00F517EF" w:rsidRPr="000014AF">
                <w:rPr>
                  <w:rStyle w:val="Hyperlink"/>
                </w:rPr>
                <w:t>HB 2229</w:t>
              </w:r>
            </w:hyperlink>
          </w:p>
        </w:tc>
        <w:tc>
          <w:tcPr>
            <w:tcW w:w="6545" w:type="dxa"/>
          </w:tcPr>
          <w:p w:rsidR="00F517EF" w:rsidRDefault="00F517EF" w:rsidP="006A2918">
            <w:pPr>
              <w:keepLines/>
            </w:pPr>
            <w:r w:rsidRPr="000014AF">
              <w:t>Requires school districts to offer instruction in financial literacy.</w:t>
            </w:r>
          </w:p>
        </w:tc>
        <w:tc>
          <w:tcPr>
            <w:tcW w:w="4361" w:type="dxa"/>
          </w:tcPr>
          <w:p w:rsidR="00F517EF" w:rsidRDefault="00F517EF" w:rsidP="006A2918">
            <w:pPr>
              <w:keepLines/>
            </w:pPr>
            <w:r>
              <w:t>Work session scheduled</w:t>
            </w:r>
          </w:p>
        </w:tc>
      </w:tr>
      <w:tr w:rsidR="00F517EF" w:rsidTr="006A2918">
        <w:trPr>
          <w:trHeight w:val="236"/>
        </w:trPr>
        <w:tc>
          <w:tcPr>
            <w:tcW w:w="2172" w:type="dxa"/>
          </w:tcPr>
          <w:p w:rsidR="00F517EF" w:rsidRDefault="00AE3001" w:rsidP="006A2918">
            <w:pPr>
              <w:keepLines/>
            </w:pPr>
            <w:hyperlink r:id="rId25" w:history="1">
              <w:r w:rsidR="00F517EF" w:rsidRPr="00B90741">
                <w:rPr>
                  <w:rStyle w:val="Hyperlink"/>
                </w:rPr>
                <w:t>HB 2346</w:t>
              </w:r>
            </w:hyperlink>
          </w:p>
        </w:tc>
        <w:tc>
          <w:tcPr>
            <w:tcW w:w="6545" w:type="dxa"/>
          </w:tcPr>
          <w:p w:rsidR="00F517EF" w:rsidRDefault="00F517EF" w:rsidP="006A2918">
            <w:pPr>
              <w:keepLines/>
            </w:pPr>
            <w:r w:rsidRPr="00B90741">
              <w:t>Directs insured institution or credit union to accept declaration rather than affidavit from Department of Human Services or Oregon Health Authority to pay claim on death of depositor.</w:t>
            </w:r>
          </w:p>
        </w:tc>
        <w:tc>
          <w:tcPr>
            <w:tcW w:w="4361" w:type="dxa"/>
          </w:tcPr>
          <w:p w:rsidR="00F517EF" w:rsidRDefault="00F517EF" w:rsidP="006A2918">
            <w:pPr>
              <w:keepLines/>
            </w:pPr>
            <w:r>
              <w:t>Public hearing scheduled</w:t>
            </w:r>
          </w:p>
        </w:tc>
      </w:tr>
      <w:tr w:rsidR="00B975E7" w:rsidTr="006A2918">
        <w:trPr>
          <w:trHeight w:val="236"/>
        </w:trPr>
        <w:tc>
          <w:tcPr>
            <w:tcW w:w="2172" w:type="dxa"/>
          </w:tcPr>
          <w:p w:rsidR="00B975E7" w:rsidRDefault="00AE3001" w:rsidP="006A2918">
            <w:pPr>
              <w:keepLines/>
            </w:pPr>
            <w:hyperlink r:id="rId26" w:history="1">
              <w:r w:rsidR="00B975E7" w:rsidRPr="00B975E7">
                <w:rPr>
                  <w:rStyle w:val="Hyperlink"/>
                </w:rPr>
                <w:t>SB 113</w:t>
              </w:r>
            </w:hyperlink>
          </w:p>
        </w:tc>
        <w:tc>
          <w:tcPr>
            <w:tcW w:w="6545" w:type="dxa"/>
          </w:tcPr>
          <w:p w:rsidR="00B975E7" w:rsidRPr="00B975E7" w:rsidRDefault="00B975E7" w:rsidP="006A2918">
            <w:pPr>
              <w:keepLines/>
            </w:pPr>
            <w:r w:rsidRPr="00B975E7">
              <w:t>Provides that person identified in gift card as providing goods or services shall transfer to Department of State Lands remaining balance of gift card that cardholder has not used within five years after date of last transaction that used gift card for purchase.</w:t>
            </w:r>
          </w:p>
        </w:tc>
        <w:tc>
          <w:tcPr>
            <w:tcW w:w="4361" w:type="dxa"/>
          </w:tcPr>
          <w:p w:rsidR="00B975E7" w:rsidRDefault="00B975E7" w:rsidP="006A2918">
            <w:pPr>
              <w:keepLines/>
            </w:pPr>
            <w:r>
              <w:t>First reading</w:t>
            </w:r>
          </w:p>
        </w:tc>
      </w:tr>
      <w:tr w:rsidR="00B975E7" w:rsidTr="006A2918">
        <w:trPr>
          <w:trHeight w:val="236"/>
        </w:trPr>
        <w:tc>
          <w:tcPr>
            <w:tcW w:w="2172" w:type="dxa"/>
          </w:tcPr>
          <w:p w:rsidR="00B975E7" w:rsidRDefault="00AE3001" w:rsidP="006A2918">
            <w:pPr>
              <w:keepLines/>
            </w:pPr>
            <w:hyperlink r:id="rId27" w:history="1">
              <w:r w:rsidR="00B975E7" w:rsidRPr="00B975E7">
                <w:rPr>
                  <w:rStyle w:val="Hyperlink"/>
                </w:rPr>
                <w:t>SB 254</w:t>
              </w:r>
            </w:hyperlink>
          </w:p>
        </w:tc>
        <w:tc>
          <w:tcPr>
            <w:tcW w:w="6545" w:type="dxa"/>
          </w:tcPr>
          <w:p w:rsidR="00B975E7" w:rsidRPr="00B90741" w:rsidRDefault="00B975E7" w:rsidP="006A2918">
            <w:pPr>
              <w:keepLines/>
            </w:pPr>
            <w:r w:rsidRPr="00B975E7">
              <w:t>Requires financial institutions to participate in data match system established by Department of Revenue to identify assets held at financial institutions by delinquent debtors.</w:t>
            </w:r>
          </w:p>
        </w:tc>
        <w:tc>
          <w:tcPr>
            <w:tcW w:w="4361" w:type="dxa"/>
          </w:tcPr>
          <w:p w:rsidR="00B975E7" w:rsidRDefault="00B975E7" w:rsidP="006A2918">
            <w:pPr>
              <w:keepLines/>
            </w:pPr>
            <w:r>
              <w:t>First reading</w:t>
            </w:r>
          </w:p>
        </w:tc>
      </w:tr>
      <w:tr w:rsidR="00F517EF" w:rsidTr="00F517EF">
        <w:trPr>
          <w:trHeight w:val="236"/>
        </w:trPr>
        <w:tc>
          <w:tcPr>
            <w:tcW w:w="13078" w:type="dxa"/>
            <w:gridSpan w:val="3"/>
            <w:shd w:val="clear" w:color="auto" w:fill="4F81BD" w:themeFill="accent1"/>
          </w:tcPr>
          <w:p w:rsidR="00F517EF" w:rsidRDefault="00F517EF" w:rsidP="006A2918">
            <w:pPr>
              <w:keepLines/>
              <w:jc w:val="center"/>
            </w:pPr>
            <w:r w:rsidRPr="007F4DB2">
              <w:rPr>
                <w:color w:val="FFFFFF" w:themeColor="background1"/>
              </w:rPr>
              <w:t>Washington</w:t>
            </w:r>
          </w:p>
        </w:tc>
      </w:tr>
      <w:tr w:rsidR="00F517EF" w:rsidTr="006A2918">
        <w:trPr>
          <w:trHeight w:val="236"/>
        </w:trPr>
        <w:tc>
          <w:tcPr>
            <w:tcW w:w="2172" w:type="dxa"/>
          </w:tcPr>
          <w:p w:rsidR="00F517EF" w:rsidRDefault="00AE3001" w:rsidP="006A2918">
            <w:pPr>
              <w:keepLines/>
            </w:pPr>
            <w:hyperlink r:id="rId28" w:history="1">
              <w:r w:rsidR="00F517EF" w:rsidRPr="007F4DB2">
                <w:rPr>
                  <w:rStyle w:val="Hyperlink"/>
                </w:rPr>
                <w:t>HB 1209</w:t>
              </w:r>
            </w:hyperlink>
          </w:p>
          <w:p w:rsidR="00F517EF" w:rsidRDefault="00F517EF" w:rsidP="006A2918">
            <w:pPr>
              <w:keepLines/>
            </w:pPr>
            <w:r>
              <w:t>SB 5396</w:t>
            </w:r>
          </w:p>
        </w:tc>
        <w:tc>
          <w:tcPr>
            <w:tcW w:w="6545" w:type="dxa"/>
          </w:tcPr>
          <w:p w:rsidR="00F517EF" w:rsidRDefault="00F517EF" w:rsidP="006A2918">
            <w:pPr>
              <w:keepLines/>
            </w:pPr>
            <w:r>
              <w:t>Allow credit unions to accept public deposits that exceed the maximum deposit insured by the NCUA share insurance fund.</w:t>
            </w:r>
          </w:p>
        </w:tc>
        <w:tc>
          <w:tcPr>
            <w:tcW w:w="4361" w:type="dxa"/>
          </w:tcPr>
          <w:p w:rsidR="00F517EF" w:rsidRDefault="00980B64" w:rsidP="006A2918">
            <w:pPr>
              <w:keepLines/>
            </w:pPr>
            <w:r>
              <w:t xml:space="preserve">SHB </w:t>
            </w:r>
            <w:r w:rsidR="00F517EF">
              <w:t>Passed House</w:t>
            </w:r>
          </w:p>
          <w:p w:rsidR="00F517EF" w:rsidRDefault="00F517EF" w:rsidP="006A2918">
            <w:pPr>
              <w:keepLines/>
            </w:pPr>
            <w:r>
              <w:t>In Senate Committee</w:t>
            </w:r>
          </w:p>
        </w:tc>
      </w:tr>
      <w:tr w:rsidR="00F517EF" w:rsidTr="006A2918">
        <w:trPr>
          <w:trHeight w:val="236"/>
        </w:trPr>
        <w:tc>
          <w:tcPr>
            <w:tcW w:w="2172" w:type="dxa"/>
          </w:tcPr>
          <w:p w:rsidR="00F517EF" w:rsidRDefault="00AE3001" w:rsidP="006A2918">
            <w:pPr>
              <w:keepLines/>
            </w:pPr>
            <w:hyperlink r:id="rId29" w:history="1">
              <w:r w:rsidR="00F517EF" w:rsidRPr="007F4DB2">
                <w:rPr>
                  <w:rStyle w:val="Hyperlink"/>
                </w:rPr>
                <w:t>HB 1318</w:t>
              </w:r>
            </w:hyperlink>
          </w:p>
        </w:tc>
        <w:tc>
          <w:tcPr>
            <w:tcW w:w="6545" w:type="dxa"/>
          </w:tcPr>
          <w:p w:rsidR="00F517EF" w:rsidRPr="00980B64" w:rsidRDefault="00F517EF" w:rsidP="006A2918">
            <w:pPr>
              <w:keepLines/>
              <w:rPr>
                <w:strike/>
              </w:rPr>
            </w:pPr>
            <w:r w:rsidRPr="00980B64">
              <w:rPr>
                <w:strike/>
              </w:rPr>
              <w:t xml:space="preserve">Allow state-chartered credit unions to accept supplemental capital to build net worth.  </w:t>
            </w:r>
          </w:p>
        </w:tc>
        <w:tc>
          <w:tcPr>
            <w:tcW w:w="4361" w:type="dxa"/>
          </w:tcPr>
          <w:p w:rsidR="00F517EF" w:rsidRPr="00AE3001" w:rsidRDefault="00F517EF" w:rsidP="006A2918">
            <w:pPr>
              <w:keepLines/>
              <w:rPr>
                <w:strike/>
              </w:rPr>
            </w:pPr>
            <w:r w:rsidRPr="00AE3001">
              <w:rPr>
                <w:strike/>
              </w:rPr>
              <w:t>In House Committee</w:t>
            </w:r>
            <w:r w:rsidR="00980B64" w:rsidRPr="00AE3001">
              <w:rPr>
                <w:strike/>
              </w:rPr>
              <w:t xml:space="preserve"> </w:t>
            </w:r>
          </w:p>
        </w:tc>
      </w:tr>
      <w:tr w:rsidR="00F517EF" w:rsidTr="006A2918">
        <w:trPr>
          <w:trHeight w:val="236"/>
        </w:trPr>
        <w:tc>
          <w:tcPr>
            <w:tcW w:w="2172" w:type="dxa"/>
          </w:tcPr>
          <w:p w:rsidR="00F517EF" w:rsidRDefault="00F517EF" w:rsidP="006A2918">
            <w:pPr>
              <w:keepLines/>
            </w:pPr>
          </w:p>
        </w:tc>
        <w:tc>
          <w:tcPr>
            <w:tcW w:w="6545" w:type="dxa"/>
          </w:tcPr>
          <w:p w:rsidR="00F517EF" w:rsidRDefault="00F517EF" w:rsidP="006A2918">
            <w:pPr>
              <w:keepLines/>
            </w:pPr>
          </w:p>
        </w:tc>
        <w:tc>
          <w:tcPr>
            <w:tcW w:w="4361" w:type="dxa"/>
          </w:tcPr>
          <w:p w:rsidR="00F517EF" w:rsidRDefault="00F517EF" w:rsidP="006A2918">
            <w:pPr>
              <w:keepLines/>
            </w:pPr>
          </w:p>
        </w:tc>
      </w:tr>
      <w:tr w:rsidR="00F517EF" w:rsidTr="006A2918">
        <w:trPr>
          <w:trHeight w:val="236"/>
        </w:trPr>
        <w:tc>
          <w:tcPr>
            <w:tcW w:w="2172" w:type="dxa"/>
          </w:tcPr>
          <w:p w:rsidR="00F517EF" w:rsidRDefault="00F517EF" w:rsidP="006A2918">
            <w:pPr>
              <w:keepLines/>
            </w:pPr>
          </w:p>
        </w:tc>
        <w:tc>
          <w:tcPr>
            <w:tcW w:w="6545" w:type="dxa"/>
          </w:tcPr>
          <w:p w:rsidR="00F517EF" w:rsidRDefault="00F517EF" w:rsidP="006A2918">
            <w:pPr>
              <w:keepLines/>
            </w:pPr>
          </w:p>
        </w:tc>
        <w:tc>
          <w:tcPr>
            <w:tcW w:w="4361" w:type="dxa"/>
          </w:tcPr>
          <w:p w:rsidR="00F517EF" w:rsidRDefault="00F517EF" w:rsidP="006A2918">
            <w:pPr>
              <w:keepLines/>
            </w:pPr>
          </w:p>
        </w:tc>
      </w:tr>
    </w:tbl>
    <w:p w:rsidR="00F517EF" w:rsidRDefault="00F517EF" w:rsidP="00D1188B"/>
    <w:p w:rsidR="00013BF9" w:rsidRPr="00013BF9" w:rsidRDefault="00013BF9" w:rsidP="00D1188B">
      <w:pPr>
        <w:rPr>
          <w:b/>
          <w:sz w:val="28"/>
          <w:szCs w:val="28"/>
        </w:rPr>
      </w:pPr>
      <w:r w:rsidRPr="00013BF9">
        <w:rPr>
          <w:b/>
          <w:sz w:val="28"/>
          <w:szCs w:val="28"/>
        </w:rPr>
        <w:t>IMPORTANT DATES</w:t>
      </w:r>
    </w:p>
    <w:p w:rsidR="00225F57" w:rsidRDefault="00B2494D" w:rsidP="00D830AA">
      <w:r w:rsidRPr="00B2494D">
        <w:rPr>
          <w:b/>
        </w:rPr>
        <w:t>Call Report due dates for 2017</w:t>
      </w:r>
      <w:r>
        <w:t xml:space="preserve">:  January 29, April 30, July 30, and October 29 (the last Sunday of the month following the quarter end).  </w:t>
      </w:r>
    </w:p>
    <w:p w:rsidR="000F5081" w:rsidRPr="00DD1CB4" w:rsidRDefault="000F5081"/>
    <w:sectPr w:rsidR="000F5081" w:rsidRPr="00DD1CB4" w:rsidSect="004670B2">
      <w:headerReference w:type="default" r:id="rId30"/>
      <w:footerReference w:type="default" r:id="rI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19" w:rsidRDefault="00DB5E19" w:rsidP="009516FB">
      <w:pPr>
        <w:spacing w:after="0" w:line="240" w:lineRule="auto"/>
      </w:pPr>
      <w:r>
        <w:separator/>
      </w:r>
    </w:p>
  </w:endnote>
  <w:endnote w:type="continuationSeparator" w:id="0">
    <w:p w:rsidR="00DB5E19" w:rsidRDefault="00DB5E19" w:rsidP="0095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19" w:rsidRDefault="00DB5E19" w:rsidP="009516FB">
    <w:pPr>
      <w:pStyle w:val="Footer"/>
      <w:jc w:val="right"/>
    </w:pPr>
    <w:r>
      <w:rPr>
        <w:noProof/>
      </w:rPr>
      <w:drawing>
        <wp:inline distT="0" distB="0" distL="0" distR="0" wp14:anchorId="7666BC11" wp14:editId="5E49D36E">
          <wp:extent cx="213360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13105"/>
                  </a:xfrm>
                  <a:prstGeom prst="rect">
                    <a:avLst/>
                  </a:prstGeom>
                  <a:noFill/>
                </pic:spPr>
              </pic:pic>
            </a:graphicData>
          </a:graphic>
        </wp:inline>
      </w:drawing>
    </w:r>
    <w:r>
      <w:t xml:space="preserve">                                                  Legislative Update 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19" w:rsidRDefault="00DB5E19" w:rsidP="009516FB">
      <w:pPr>
        <w:spacing w:after="0" w:line="240" w:lineRule="auto"/>
      </w:pPr>
      <w:r>
        <w:separator/>
      </w:r>
    </w:p>
  </w:footnote>
  <w:footnote w:type="continuationSeparator" w:id="0">
    <w:p w:rsidR="00DB5E19" w:rsidRDefault="00DB5E19" w:rsidP="0095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28335"/>
      <w:docPartObj>
        <w:docPartGallery w:val="Page Numbers (Top of Page)"/>
        <w:docPartUnique/>
      </w:docPartObj>
    </w:sdtPr>
    <w:sdtEndPr>
      <w:rPr>
        <w:noProof/>
      </w:rPr>
    </w:sdtEndPr>
    <w:sdtContent>
      <w:p w:rsidR="00DB5E19" w:rsidRDefault="00DB5E19">
        <w:pPr>
          <w:pStyle w:val="Header"/>
          <w:jc w:val="right"/>
        </w:pPr>
        <w:r>
          <w:fldChar w:fldCharType="begin"/>
        </w:r>
        <w:r>
          <w:instrText xml:space="preserve"> PAGE   \* MERGEFORMAT </w:instrText>
        </w:r>
        <w:r>
          <w:fldChar w:fldCharType="separate"/>
        </w:r>
        <w:r w:rsidR="00AE3001">
          <w:rPr>
            <w:noProof/>
          </w:rPr>
          <w:t>3</w:t>
        </w:r>
        <w:r>
          <w:rPr>
            <w:noProof/>
          </w:rPr>
          <w:fldChar w:fldCharType="end"/>
        </w:r>
      </w:p>
    </w:sdtContent>
  </w:sdt>
  <w:p w:rsidR="00DB5E19" w:rsidRDefault="00DB5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6EF"/>
    <w:multiLevelType w:val="multilevel"/>
    <w:tmpl w:val="C3A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20100"/>
    <w:multiLevelType w:val="hybridMultilevel"/>
    <w:tmpl w:val="F42E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7D9B"/>
    <w:multiLevelType w:val="hybridMultilevel"/>
    <w:tmpl w:val="58F067C4"/>
    <w:lvl w:ilvl="0" w:tplc="141CB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3CB8"/>
    <w:multiLevelType w:val="hybridMultilevel"/>
    <w:tmpl w:val="6C348528"/>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F03A7"/>
    <w:multiLevelType w:val="hybridMultilevel"/>
    <w:tmpl w:val="8A8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75FE3"/>
    <w:multiLevelType w:val="hybridMultilevel"/>
    <w:tmpl w:val="D51E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B3667"/>
    <w:multiLevelType w:val="hybridMultilevel"/>
    <w:tmpl w:val="BE043168"/>
    <w:lvl w:ilvl="0" w:tplc="8D5A2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11F3F"/>
    <w:multiLevelType w:val="hybridMultilevel"/>
    <w:tmpl w:val="100C1B8E"/>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26A89"/>
    <w:multiLevelType w:val="multilevel"/>
    <w:tmpl w:val="931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810930"/>
    <w:multiLevelType w:val="hybridMultilevel"/>
    <w:tmpl w:val="BE984502"/>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517DE"/>
    <w:multiLevelType w:val="multilevel"/>
    <w:tmpl w:val="9A8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822BA"/>
    <w:multiLevelType w:val="hybridMultilevel"/>
    <w:tmpl w:val="C42A2EC0"/>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4"/>
  </w:num>
  <w:num w:numId="5">
    <w:abstractNumId w:val="8"/>
  </w:num>
  <w:num w:numId="6">
    <w:abstractNumId w:val="1"/>
  </w:num>
  <w:num w:numId="7">
    <w:abstractNumId w:val="7"/>
  </w:num>
  <w:num w:numId="8">
    <w:abstractNumId w:val="6"/>
  </w:num>
  <w:num w:numId="9">
    <w:abstractNumId w:val="1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B2"/>
    <w:rsid w:val="00001E88"/>
    <w:rsid w:val="00011112"/>
    <w:rsid w:val="00013BF9"/>
    <w:rsid w:val="00013FA8"/>
    <w:rsid w:val="00016A3D"/>
    <w:rsid w:val="00033069"/>
    <w:rsid w:val="00036A9E"/>
    <w:rsid w:val="0004395A"/>
    <w:rsid w:val="00050E93"/>
    <w:rsid w:val="00053D69"/>
    <w:rsid w:val="0005474C"/>
    <w:rsid w:val="00062373"/>
    <w:rsid w:val="000704A8"/>
    <w:rsid w:val="0007572E"/>
    <w:rsid w:val="000C57E2"/>
    <w:rsid w:val="000C6F62"/>
    <w:rsid w:val="000D2411"/>
    <w:rsid w:val="000E0E4E"/>
    <w:rsid w:val="000E1F7A"/>
    <w:rsid w:val="000E30FB"/>
    <w:rsid w:val="000F5081"/>
    <w:rsid w:val="00105532"/>
    <w:rsid w:val="00105BF0"/>
    <w:rsid w:val="00113262"/>
    <w:rsid w:val="00114BD2"/>
    <w:rsid w:val="0012584F"/>
    <w:rsid w:val="001371A1"/>
    <w:rsid w:val="00137A4B"/>
    <w:rsid w:val="00143775"/>
    <w:rsid w:val="00152E97"/>
    <w:rsid w:val="00154381"/>
    <w:rsid w:val="00155503"/>
    <w:rsid w:val="00155BB2"/>
    <w:rsid w:val="00172B95"/>
    <w:rsid w:val="00173106"/>
    <w:rsid w:val="00174A57"/>
    <w:rsid w:val="00176A30"/>
    <w:rsid w:val="00176BAE"/>
    <w:rsid w:val="001924F5"/>
    <w:rsid w:val="0019373F"/>
    <w:rsid w:val="001B36FB"/>
    <w:rsid w:val="001B4DB6"/>
    <w:rsid w:val="001C24FB"/>
    <w:rsid w:val="001F2A05"/>
    <w:rsid w:val="001F4193"/>
    <w:rsid w:val="00201A42"/>
    <w:rsid w:val="00207316"/>
    <w:rsid w:val="00215590"/>
    <w:rsid w:val="00217B65"/>
    <w:rsid w:val="0022595F"/>
    <w:rsid w:val="00225F57"/>
    <w:rsid w:val="00233F19"/>
    <w:rsid w:val="002362A2"/>
    <w:rsid w:val="00251848"/>
    <w:rsid w:val="00261F16"/>
    <w:rsid w:val="002635E0"/>
    <w:rsid w:val="00265D6B"/>
    <w:rsid w:val="00272CD7"/>
    <w:rsid w:val="00274CDA"/>
    <w:rsid w:val="00294580"/>
    <w:rsid w:val="002B082F"/>
    <w:rsid w:val="002B38F0"/>
    <w:rsid w:val="002B4E3D"/>
    <w:rsid w:val="002B6DAC"/>
    <w:rsid w:val="002C4A0B"/>
    <w:rsid w:val="002D029F"/>
    <w:rsid w:val="002E109D"/>
    <w:rsid w:val="002F3DF3"/>
    <w:rsid w:val="002F4525"/>
    <w:rsid w:val="003011AF"/>
    <w:rsid w:val="003017B9"/>
    <w:rsid w:val="003245BB"/>
    <w:rsid w:val="00336C3F"/>
    <w:rsid w:val="00356321"/>
    <w:rsid w:val="00366CE9"/>
    <w:rsid w:val="0038010D"/>
    <w:rsid w:val="00394799"/>
    <w:rsid w:val="003B117B"/>
    <w:rsid w:val="003B2BCF"/>
    <w:rsid w:val="003B5637"/>
    <w:rsid w:val="003B5E21"/>
    <w:rsid w:val="003C7920"/>
    <w:rsid w:val="003D64B3"/>
    <w:rsid w:val="003E0302"/>
    <w:rsid w:val="003E2AD1"/>
    <w:rsid w:val="003E70C6"/>
    <w:rsid w:val="003F618F"/>
    <w:rsid w:val="004070E9"/>
    <w:rsid w:val="00413996"/>
    <w:rsid w:val="0042461E"/>
    <w:rsid w:val="004331F4"/>
    <w:rsid w:val="00435186"/>
    <w:rsid w:val="00443C0F"/>
    <w:rsid w:val="00444FFD"/>
    <w:rsid w:val="00445E61"/>
    <w:rsid w:val="00451B34"/>
    <w:rsid w:val="00451DB7"/>
    <w:rsid w:val="00453DA0"/>
    <w:rsid w:val="004629C9"/>
    <w:rsid w:val="004670B2"/>
    <w:rsid w:val="004801A3"/>
    <w:rsid w:val="0048047D"/>
    <w:rsid w:val="004B0CF2"/>
    <w:rsid w:val="004B1A12"/>
    <w:rsid w:val="004B7407"/>
    <w:rsid w:val="004C2F31"/>
    <w:rsid w:val="004C4FD5"/>
    <w:rsid w:val="004D5C8D"/>
    <w:rsid w:val="004E02B2"/>
    <w:rsid w:val="004E6E06"/>
    <w:rsid w:val="004F6A93"/>
    <w:rsid w:val="004F7B91"/>
    <w:rsid w:val="00502F4F"/>
    <w:rsid w:val="00503A84"/>
    <w:rsid w:val="00513A6B"/>
    <w:rsid w:val="005208A0"/>
    <w:rsid w:val="00525941"/>
    <w:rsid w:val="00526961"/>
    <w:rsid w:val="0057444C"/>
    <w:rsid w:val="005A164C"/>
    <w:rsid w:val="005B2EEA"/>
    <w:rsid w:val="005C072A"/>
    <w:rsid w:val="005D4EA4"/>
    <w:rsid w:val="005F4AC9"/>
    <w:rsid w:val="005F4D1E"/>
    <w:rsid w:val="00603473"/>
    <w:rsid w:val="00605BAB"/>
    <w:rsid w:val="00615725"/>
    <w:rsid w:val="006264E4"/>
    <w:rsid w:val="00630088"/>
    <w:rsid w:val="00630275"/>
    <w:rsid w:val="00630DEC"/>
    <w:rsid w:val="00632317"/>
    <w:rsid w:val="00634CA3"/>
    <w:rsid w:val="00644E58"/>
    <w:rsid w:val="006468AC"/>
    <w:rsid w:val="00667C6B"/>
    <w:rsid w:val="00672066"/>
    <w:rsid w:val="006908CC"/>
    <w:rsid w:val="00692031"/>
    <w:rsid w:val="00693EF2"/>
    <w:rsid w:val="006A0683"/>
    <w:rsid w:val="006A2918"/>
    <w:rsid w:val="006A7271"/>
    <w:rsid w:val="006B3DE0"/>
    <w:rsid w:val="006B67AC"/>
    <w:rsid w:val="006B6D03"/>
    <w:rsid w:val="006C0A16"/>
    <w:rsid w:val="006C3107"/>
    <w:rsid w:val="006D0C47"/>
    <w:rsid w:val="006D2DF4"/>
    <w:rsid w:val="006D4256"/>
    <w:rsid w:val="006E10DB"/>
    <w:rsid w:val="007075BA"/>
    <w:rsid w:val="00710285"/>
    <w:rsid w:val="00711B89"/>
    <w:rsid w:val="007122A3"/>
    <w:rsid w:val="00714311"/>
    <w:rsid w:val="00734132"/>
    <w:rsid w:val="0075139C"/>
    <w:rsid w:val="0076011C"/>
    <w:rsid w:val="00766BE3"/>
    <w:rsid w:val="007761FF"/>
    <w:rsid w:val="00780EB2"/>
    <w:rsid w:val="0079268D"/>
    <w:rsid w:val="007A49A6"/>
    <w:rsid w:val="007A4A48"/>
    <w:rsid w:val="007A78BD"/>
    <w:rsid w:val="007B2E65"/>
    <w:rsid w:val="007C7A17"/>
    <w:rsid w:val="007E2F0F"/>
    <w:rsid w:val="007E5A30"/>
    <w:rsid w:val="007F1644"/>
    <w:rsid w:val="007F444F"/>
    <w:rsid w:val="007F4EEC"/>
    <w:rsid w:val="0080103B"/>
    <w:rsid w:val="00806853"/>
    <w:rsid w:val="008111CC"/>
    <w:rsid w:val="0081242C"/>
    <w:rsid w:val="0082731E"/>
    <w:rsid w:val="00847BAF"/>
    <w:rsid w:val="00854729"/>
    <w:rsid w:val="00857D6B"/>
    <w:rsid w:val="00863C31"/>
    <w:rsid w:val="00864656"/>
    <w:rsid w:val="00870B44"/>
    <w:rsid w:val="0087131F"/>
    <w:rsid w:val="00873B59"/>
    <w:rsid w:val="008756E8"/>
    <w:rsid w:val="00881E57"/>
    <w:rsid w:val="008821F9"/>
    <w:rsid w:val="00886D2A"/>
    <w:rsid w:val="00891FE6"/>
    <w:rsid w:val="00897886"/>
    <w:rsid w:val="008A14C6"/>
    <w:rsid w:val="008B03E6"/>
    <w:rsid w:val="008B5C5C"/>
    <w:rsid w:val="008C7F59"/>
    <w:rsid w:val="008D78E1"/>
    <w:rsid w:val="008E19EA"/>
    <w:rsid w:val="008E296D"/>
    <w:rsid w:val="008E711C"/>
    <w:rsid w:val="0091703E"/>
    <w:rsid w:val="00920A21"/>
    <w:rsid w:val="00924FE5"/>
    <w:rsid w:val="00925885"/>
    <w:rsid w:val="009322F0"/>
    <w:rsid w:val="00933EB4"/>
    <w:rsid w:val="009478D9"/>
    <w:rsid w:val="009516FB"/>
    <w:rsid w:val="00980B64"/>
    <w:rsid w:val="00980C97"/>
    <w:rsid w:val="009837E4"/>
    <w:rsid w:val="00983CC0"/>
    <w:rsid w:val="00990BAD"/>
    <w:rsid w:val="009937AD"/>
    <w:rsid w:val="0099695C"/>
    <w:rsid w:val="009A5E71"/>
    <w:rsid w:val="009A716D"/>
    <w:rsid w:val="009A7FE9"/>
    <w:rsid w:val="009B25D5"/>
    <w:rsid w:val="009C4E16"/>
    <w:rsid w:val="009C5026"/>
    <w:rsid w:val="009D0E2F"/>
    <w:rsid w:val="009E1BCF"/>
    <w:rsid w:val="009F00D3"/>
    <w:rsid w:val="00A03475"/>
    <w:rsid w:val="00A07BED"/>
    <w:rsid w:val="00A10A42"/>
    <w:rsid w:val="00A13CB2"/>
    <w:rsid w:val="00A367AD"/>
    <w:rsid w:val="00A371E4"/>
    <w:rsid w:val="00A54A69"/>
    <w:rsid w:val="00A731C9"/>
    <w:rsid w:val="00A770CD"/>
    <w:rsid w:val="00A775BA"/>
    <w:rsid w:val="00A81DA4"/>
    <w:rsid w:val="00A82B32"/>
    <w:rsid w:val="00A84002"/>
    <w:rsid w:val="00A8721F"/>
    <w:rsid w:val="00A96B19"/>
    <w:rsid w:val="00A97370"/>
    <w:rsid w:val="00AB217B"/>
    <w:rsid w:val="00AC1EC4"/>
    <w:rsid w:val="00AC28C6"/>
    <w:rsid w:val="00AC6A22"/>
    <w:rsid w:val="00AD2397"/>
    <w:rsid w:val="00AD5A87"/>
    <w:rsid w:val="00AD5AFA"/>
    <w:rsid w:val="00AD6AF4"/>
    <w:rsid w:val="00AE3001"/>
    <w:rsid w:val="00AE3AA2"/>
    <w:rsid w:val="00AF302A"/>
    <w:rsid w:val="00AF6446"/>
    <w:rsid w:val="00B01B28"/>
    <w:rsid w:val="00B11197"/>
    <w:rsid w:val="00B1548D"/>
    <w:rsid w:val="00B2494D"/>
    <w:rsid w:val="00B34E2E"/>
    <w:rsid w:val="00B355D2"/>
    <w:rsid w:val="00B35870"/>
    <w:rsid w:val="00B440A3"/>
    <w:rsid w:val="00B52D08"/>
    <w:rsid w:val="00B532FB"/>
    <w:rsid w:val="00B623E9"/>
    <w:rsid w:val="00B66E90"/>
    <w:rsid w:val="00B71928"/>
    <w:rsid w:val="00B819BC"/>
    <w:rsid w:val="00B975E7"/>
    <w:rsid w:val="00BA5444"/>
    <w:rsid w:val="00BB1B58"/>
    <w:rsid w:val="00BB6B54"/>
    <w:rsid w:val="00BD479B"/>
    <w:rsid w:val="00BD5ADC"/>
    <w:rsid w:val="00C012BB"/>
    <w:rsid w:val="00C02DF2"/>
    <w:rsid w:val="00C0564A"/>
    <w:rsid w:val="00C12A79"/>
    <w:rsid w:val="00C15E43"/>
    <w:rsid w:val="00C1691D"/>
    <w:rsid w:val="00C40D53"/>
    <w:rsid w:val="00C417A3"/>
    <w:rsid w:val="00C5176C"/>
    <w:rsid w:val="00C52445"/>
    <w:rsid w:val="00C53A07"/>
    <w:rsid w:val="00C6554D"/>
    <w:rsid w:val="00C721DB"/>
    <w:rsid w:val="00C77CEE"/>
    <w:rsid w:val="00C83BE8"/>
    <w:rsid w:val="00C950B3"/>
    <w:rsid w:val="00CA0305"/>
    <w:rsid w:val="00CA2872"/>
    <w:rsid w:val="00CC60FF"/>
    <w:rsid w:val="00CD1AC9"/>
    <w:rsid w:val="00CE1A73"/>
    <w:rsid w:val="00CE26B8"/>
    <w:rsid w:val="00CF22C2"/>
    <w:rsid w:val="00D1188B"/>
    <w:rsid w:val="00D121D2"/>
    <w:rsid w:val="00D12C32"/>
    <w:rsid w:val="00D25AD2"/>
    <w:rsid w:val="00D3009A"/>
    <w:rsid w:val="00D311E0"/>
    <w:rsid w:val="00D342C8"/>
    <w:rsid w:val="00D42123"/>
    <w:rsid w:val="00D608FB"/>
    <w:rsid w:val="00D64643"/>
    <w:rsid w:val="00D830AA"/>
    <w:rsid w:val="00D84E99"/>
    <w:rsid w:val="00DB2422"/>
    <w:rsid w:val="00DB5E19"/>
    <w:rsid w:val="00DC082C"/>
    <w:rsid w:val="00DC094A"/>
    <w:rsid w:val="00DC5948"/>
    <w:rsid w:val="00DC71AF"/>
    <w:rsid w:val="00DD0103"/>
    <w:rsid w:val="00DD09C7"/>
    <w:rsid w:val="00DD1CB4"/>
    <w:rsid w:val="00DD3ABC"/>
    <w:rsid w:val="00DF483C"/>
    <w:rsid w:val="00E02279"/>
    <w:rsid w:val="00E11D08"/>
    <w:rsid w:val="00E13DD7"/>
    <w:rsid w:val="00E31E6D"/>
    <w:rsid w:val="00E60521"/>
    <w:rsid w:val="00E60F45"/>
    <w:rsid w:val="00E80D83"/>
    <w:rsid w:val="00E81DCB"/>
    <w:rsid w:val="00E84648"/>
    <w:rsid w:val="00EA7A23"/>
    <w:rsid w:val="00EC5CB5"/>
    <w:rsid w:val="00ED793F"/>
    <w:rsid w:val="00EF1DD3"/>
    <w:rsid w:val="00EF618B"/>
    <w:rsid w:val="00F026C4"/>
    <w:rsid w:val="00F02739"/>
    <w:rsid w:val="00F059BB"/>
    <w:rsid w:val="00F067FC"/>
    <w:rsid w:val="00F2538A"/>
    <w:rsid w:val="00F26D48"/>
    <w:rsid w:val="00F43456"/>
    <w:rsid w:val="00F443AC"/>
    <w:rsid w:val="00F507E6"/>
    <w:rsid w:val="00F517EF"/>
    <w:rsid w:val="00F55547"/>
    <w:rsid w:val="00F628F8"/>
    <w:rsid w:val="00F6705E"/>
    <w:rsid w:val="00F7041B"/>
    <w:rsid w:val="00F76BD4"/>
    <w:rsid w:val="00F90EDC"/>
    <w:rsid w:val="00F970CC"/>
    <w:rsid w:val="00FA16B3"/>
    <w:rsid w:val="00FA7669"/>
    <w:rsid w:val="00FC005D"/>
    <w:rsid w:val="00FD3FF3"/>
    <w:rsid w:val="00FD690C"/>
    <w:rsid w:val="00FF7353"/>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2E064DC"/>
  <w15:docId w15:val="{BA0B5738-5880-4AB4-A1B5-C2C633F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70B2"/>
    <w:rPr>
      <w:rFonts w:eastAsiaTheme="minorEastAsia"/>
    </w:rPr>
  </w:style>
  <w:style w:type="paragraph" w:styleId="Heading2">
    <w:name w:val="heading 2"/>
    <w:basedOn w:val="Normal"/>
    <w:next w:val="Normal"/>
    <w:link w:val="Heading2Char"/>
    <w:uiPriority w:val="9"/>
    <w:semiHidden/>
    <w:unhideWhenUsed/>
    <w:qFormat/>
    <w:rsid w:val="000330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E5A30"/>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0B2"/>
    <w:rPr>
      <w:color w:val="0000FF" w:themeColor="hyperlink"/>
      <w:u w:val="single"/>
    </w:rPr>
  </w:style>
  <w:style w:type="character" w:customStyle="1" w:styleId="h31">
    <w:name w:val="h31"/>
    <w:basedOn w:val="DefaultParagraphFont"/>
    <w:rsid w:val="00DB2422"/>
    <w:rPr>
      <w:rFonts w:ascii="Arial Black" w:hAnsi="Arial Black" w:hint="default"/>
      <w:b w:val="0"/>
      <w:bCs w:val="0"/>
      <w:color w:val="000000"/>
      <w:sz w:val="24"/>
      <w:szCs w:val="24"/>
    </w:rPr>
  </w:style>
  <w:style w:type="paragraph" w:styleId="NormalWeb">
    <w:name w:val="Normal (Web)"/>
    <w:basedOn w:val="Normal"/>
    <w:uiPriority w:val="99"/>
    <w:unhideWhenUsed/>
    <w:rsid w:val="00F555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A12"/>
    <w:rPr>
      <w:color w:val="800080" w:themeColor="followedHyperlink"/>
      <w:u w:val="single"/>
    </w:rPr>
  </w:style>
  <w:style w:type="character" w:styleId="Strong">
    <w:name w:val="Strong"/>
    <w:basedOn w:val="DefaultParagraphFont"/>
    <w:uiPriority w:val="22"/>
    <w:qFormat/>
    <w:rsid w:val="00F02739"/>
    <w:rPr>
      <w:b/>
      <w:bCs/>
    </w:rPr>
  </w:style>
  <w:style w:type="paragraph" w:styleId="BalloonText">
    <w:name w:val="Balloon Text"/>
    <w:basedOn w:val="Normal"/>
    <w:link w:val="BalloonTextChar"/>
    <w:uiPriority w:val="99"/>
    <w:semiHidden/>
    <w:unhideWhenUsed/>
    <w:rsid w:val="009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B"/>
    <w:rPr>
      <w:rFonts w:ascii="Tahoma" w:eastAsiaTheme="minorEastAsia" w:hAnsi="Tahoma" w:cs="Tahoma"/>
      <w:sz w:val="16"/>
      <w:szCs w:val="16"/>
    </w:rPr>
  </w:style>
  <w:style w:type="paragraph" w:styleId="Header">
    <w:name w:val="header"/>
    <w:basedOn w:val="Normal"/>
    <w:link w:val="HeaderChar"/>
    <w:uiPriority w:val="99"/>
    <w:unhideWhenUsed/>
    <w:rsid w:val="0095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FB"/>
    <w:rPr>
      <w:rFonts w:eastAsiaTheme="minorEastAsia"/>
    </w:rPr>
  </w:style>
  <w:style w:type="paragraph" w:styleId="Footer">
    <w:name w:val="footer"/>
    <w:basedOn w:val="Normal"/>
    <w:link w:val="FooterChar"/>
    <w:uiPriority w:val="99"/>
    <w:unhideWhenUsed/>
    <w:rsid w:val="0095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B"/>
    <w:rPr>
      <w:rFonts w:eastAsiaTheme="minorEastAsia"/>
    </w:rPr>
  </w:style>
  <w:style w:type="character" w:customStyle="1" w:styleId="volume">
    <w:name w:val="volume"/>
    <w:basedOn w:val="DefaultParagraphFont"/>
    <w:rsid w:val="00C1691D"/>
  </w:style>
  <w:style w:type="character" w:customStyle="1" w:styleId="page">
    <w:name w:val="page"/>
    <w:basedOn w:val="DefaultParagraphFont"/>
    <w:rsid w:val="00C1691D"/>
  </w:style>
  <w:style w:type="paragraph" w:styleId="ListParagraph">
    <w:name w:val="List Paragraph"/>
    <w:basedOn w:val="Normal"/>
    <w:uiPriority w:val="34"/>
    <w:qFormat/>
    <w:rsid w:val="00356321"/>
    <w:pPr>
      <w:ind w:left="720"/>
      <w:contextualSpacing/>
    </w:pPr>
  </w:style>
  <w:style w:type="character" w:styleId="CommentReference">
    <w:name w:val="annotation reference"/>
    <w:basedOn w:val="DefaultParagraphFont"/>
    <w:uiPriority w:val="99"/>
    <w:semiHidden/>
    <w:unhideWhenUsed/>
    <w:rsid w:val="00C950B3"/>
    <w:rPr>
      <w:sz w:val="16"/>
      <w:szCs w:val="16"/>
    </w:rPr>
  </w:style>
  <w:style w:type="paragraph" w:styleId="CommentText">
    <w:name w:val="annotation text"/>
    <w:basedOn w:val="Normal"/>
    <w:link w:val="CommentTextChar"/>
    <w:uiPriority w:val="99"/>
    <w:semiHidden/>
    <w:unhideWhenUsed/>
    <w:rsid w:val="00C950B3"/>
    <w:pPr>
      <w:spacing w:line="240" w:lineRule="auto"/>
    </w:pPr>
    <w:rPr>
      <w:sz w:val="20"/>
      <w:szCs w:val="20"/>
    </w:rPr>
  </w:style>
  <w:style w:type="character" w:customStyle="1" w:styleId="CommentTextChar">
    <w:name w:val="Comment Text Char"/>
    <w:basedOn w:val="DefaultParagraphFont"/>
    <w:link w:val="CommentText"/>
    <w:uiPriority w:val="99"/>
    <w:semiHidden/>
    <w:rsid w:val="00C95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0B3"/>
    <w:rPr>
      <w:b/>
      <w:bCs/>
    </w:rPr>
  </w:style>
  <w:style w:type="character" w:customStyle="1" w:styleId="CommentSubjectChar">
    <w:name w:val="Comment Subject Char"/>
    <w:basedOn w:val="CommentTextChar"/>
    <w:link w:val="CommentSubject"/>
    <w:uiPriority w:val="99"/>
    <w:semiHidden/>
    <w:rsid w:val="00C950B3"/>
    <w:rPr>
      <w:rFonts w:eastAsiaTheme="minorEastAsia"/>
      <w:b/>
      <w:bCs/>
      <w:sz w:val="20"/>
      <w:szCs w:val="20"/>
    </w:rPr>
  </w:style>
  <w:style w:type="character" w:customStyle="1" w:styleId="apple-converted-space">
    <w:name w:val="apple-converted-space"/>
    <w:basedOn w:val="DefaultParagraphFont"/>
    <w:rsid w:val="007761FF"/>
  </w:style>
  <w:style w:type="character" w:customStyle="1" w:styleId="Heading4Char">
    <w:name w:val="Heading 4 Char"/>
    <w:basedOn w:val="DefaultParagraphFont"/>
    <w:link w:val="Heading4"/>
    <w:uiPriority w:val="9"/>
    <w:rsid w:val="007E5A30"/>
    <w:rPr>
      <w:rFonts w:ascii="Times New Roman" w:eastAsia="Times New Roman" w:hAnsi="Times New Roman" w:cs="Times New Roman"/>
      <w:b/>
      <w:bCs/>
      <w:sz w:val="24"/>
      <w:szCs w:val="24"/>
    </w:rPr>
  </w:style>
  <w:style w:type="character" w:styleId="Emphasis">
    <w:name w:val="Emphasis"/>
    <w:basedOn w:val="DefaultParagraphFont"/>
    <w:uiPriority w:val="20"/>
    <w:qFormat/>
    <w:rsid w:val="008E19EA"/>
    <w:rPr>
      <w:i/>
      <w:iCs/>
    </w:rPr>
  </w:style>
  <w:style w:type="character" w:customStyle="1" w:styleId="Heading2Char">
    <w:name w:val="Heading 2 Char"/>
    <w:basedOn w:val="DefaultParagraphFont"/>
    <w:link w:val="Heading2"/>
    <w:uiPriority w:val="9"/>
    <w:semiHidden/>
    <w:rsid w:val="00033069"/>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semiHidden/>
    <w:unhideWhenUsed/>
    <w:rsid w:val="000E30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969">
      <w:bodyDiv w:val="1"/>
      <w:marLeft w:val="0"/>
      <w:marRight w:val="0"/>
      <w:marTop w:val="0"/>
      <w:marBottom w:val="0"/>
      <w:divBdr>
        <w:top w:val="none" w:sz="0" w:space="0" w:color="auto"/>
        <w:left w:val="none" w:sz="0" w:space="0" w:color="auto"/>
        <w:bottom w:val="none" w:sz="0" w:space="0" w:color="auto"/>
        <w:right w:val="none" w:sz="0" w:space="0" w:color="auto"/>
      </w:divBdr>
      <w:divsChild>
        <w:div w:id="922839204">
          <w:marLeft w:val="0"/>
          <w:marRight w:val="0"/>
          <w:marTop w:val="0"/>
          <w:marBottom w:val="0"/>
          <w:divBdr>
            <w:top w:val="none" w:sz="0" w:space="0" w:color="auto"/>
            <w:left w:val="none" w:sz="0" w:space="0" w:color="auto"/>
            <w:bottom w:val="none" w:sz="0" w:space="0" w:color="auto"/>
            <w:right w:val="none" w:sz="0" w:space="0" w:color="auto"/>
          </w:divBdr>
          <w:divsChild>
            <w:div w:id="1075711462">
              <w:marLeft w:val="0"/>
              <w:marRight w:val="0"/>
              <w:marTop w:val="0"/>
              <w:marBottom w:val="0"/>
              <w:divBdr>
                <w:top w:val="none" w:sz="0" w:space="0" w:color="auto"/>
                <w:left w:val="none" w:sz="0" w:space="0" w:color="auto"/>
                <w:bottom w:val="none" w:sz="0" w:space="0" w:color="auto"/>
                <w:right w:val="none" w:sz="0" w:space="0" w:color="auto"/>
              </w:divBdr>
              <w:divsChild>
                <w:div w:id="921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040">
      <w:bodyDiv w:val="1"/>
      <w:marLeft w:val="0"/>
      <w:marRight w:val="0"/>
      <w:marTop w:val="0"/>
      <w:marBottom w:val="0"/>
      <w:divBdr>
        <w:top w:val="none" w:sz="0" w:space="0" w:color="auto"/>
        <w:left w:val="none" w:sz="0" w:space="0" w:color="auto"/>
        <w:bottom w:val="none" w:sz="0" w:space="0" w:color="auto"/>
        <w:right w:val="none" w:sz="0" w:space="0" w:color="auto"/>
      </w:divBdr>
    </w:div>
    <w:div w:id="1038554086">
      <w:bodyDiv w:val="1"/>
      <w:marLeft w:val="0"/>
      <w:marRight w:val="0"/>
      <w:marTop w:val="0"/>
      <w:marBottom w:val="0"/>
      <w:divBdr>
        <w:top w:val="none" w:sz="0" w:space="0" w:color="auto"/>
        <w:left w:val="none" w:sz="0" w:space="0" w:color="auto"/>
        <w:bottom w:val="none" w:sz="0" w:space="0" w:color="auto"/>
        <w:right w:val="none" w:sz="0" w:space="0" w:color="auto"/>
      </w:divBdr>
    </w:div>
    <w:div w:id="12817193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331">
          <w:marLeft w:val="0"/>
          <w:marRight w:val="0"/>
          <w:marTop w:val="0"/>
          <w:marBottom w:val="0"/>
          <w:divBdr>
            <w:top w:val="none" w:sz="0" w:space="0" w:color="auto"/>
            <w:left w:val="none" w:sz="0" w:space="0" w:color="auto"/>
            <w:bottom w:val="none" w:sz="0" w:space="0" w:color="auto"/>
            <w:right w:val="none" w:sz="0" w:space="0" w:color="auto"/>
          </w:divBdr>
          <w:divsChild>
            <w:div w:id="2032880664">
              <w:marLeft w:val="0"/>
              <w:marRight w:val="0"/>
              <w:marTop w:val="0"/>
              <w:marBottom w:val="0"/>
              <w:divBdr>
                <w:top w:val="none" w:sz="0" w:space="0" w:color="auto"/>
                <w:left w:val="none" w:sz="0" w:space="0" w:color="auto"/>
                <w:bottom w:val="none" w:sz="0" w:space="0" w:color="auto"/>
                <w:right w:val="none" w:sz="0" w:space="0" w:color="auto"/>
              </w:divBdr>
              <w:divsChild>
                <w:div w:id="178088457">
                  <w:marLeft w:val="0"/>
                  <w:marRight w:val="0"/>
                  <w:marTop w:val="0"/>
                  <w:marBottom w:val="0"/>
                  <w:divBdr>
                    <w:top w:val="none" w:sz="0" w:space="0" w:color="auto"/>
                    <w:left w:val="none" w:sz="0" w:space="0" w:color="auto"/>
                    <w:bottom w:val="none" w:sz="0" w:space="0" w:color="auto"/>
                    <w:right w:val="none" w:sz="0" w:space="0" w:color="auto"/>
                  </w:divBdr>
                  <w:divsChild>
                    <w:div w:id="606960972">
                      <w:marLeft w:val="0"/>
                      <w:marRight w:val="0"/>
                      <w:marTop w:val="0"/>
                      <w:marBottom w:val="0"/>
                      <w:divBdr>
                        <w:top w:val="none" w:sz="0" w:space="0" w:color="auto"/>
                        <w:left w:val="none" w:sz="0" w:space="0" w:color="auto"/>
                        <w:bottom w:val="none" w:sz="0" w:space="0" w:color="auto"/>
                        <w:right w:val="none" w:sz="0" w:space="0" w:color="auto"/>
                      </w:divBdr>
                      <w:divsChild>
                        <w:div w:id="1576553154">
                          <w:marLeft w:val="0"/>
                          <w:marRight w:val="0"/>
                          <w:marTop w:val="0"/>
                          <w:marBottom w:val="0"/>
                          <w:divBdr>
                            <w:top w:val="none" w:sz="0" w:space="0" w:color="auto"/>
                            <w:left w:val="none" w:sz="0" w:space="0" w:color="auto"/>
                            <w:bottom w:val="none" w:sz="0" w:space="0" w:color="auto"/>
                            <w:right w:val="none" w:sz="0" w:space="0" w:color="auto"/>
                          </w:divBdr>
                          <w:divsChild>
                            <w:div w:id="1304117915">
                              <w:marLeft w:val="0"/>
                              <w:marRight w:val="0"/>
                              <w:marTop w:val="0"/>
                              <w:marBottom w:val="0"/>
                              <w:divBdr>
                                <w:top w:val="none" w:sz="0" w:space="0" w:color="auto"/>
                                <w:left w:val="none" w:sz="0" w:space="0" w:color="auto"/>
                                <w:bottom w:val="none" w:sz="0" w:space="0" w:color="auto"/>
                                <w:right w:val="none" w:sz="0" w:space="0" w:color="auto"/>
                              </w:divBdr>
                              <w:divsChild>
                                <w:div w:id="309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3611">
      <w:bodyDiv w:val="1"/>
      <w:marLeft w:val="0"/>
      <w:marRight w:val="0"/>
      <w:marTop w:val="0"/>
      <w:marBottom w:val="0"/>
      <w:divBdr>
        <w:top w:val="none" w:sz="0" w:space="0" w:color="auto"/>
        <w:left w:val="none" w:sz="0" w:space="0" w:color="auto"/>
        <w:bottom w:val="none" w:sz="0" w:space="0" w:color="auto"/>
        <w:right w:val="none" w:sz="0" w:space="0" w:color="auto"/>
      </w:divBdr>
      <w:divsChild>
        <w:div w:id="395981390">
          <w:marLeft w:val="0"/>
          <w:marRight w:val="0"/>
          <w:marTop w:val="0"/>
          <w:marBottom w:val="0"/>
          <w:divBdr>
            <w:top w:val="none" w:sz="0" w:space="0" w:color="auto"/>
            <w:left w:val="none" w:sz="0" w:space="0" w:color="auto"/>
            <w:bottom w:val="none" w:sz="0" w:space="0" w:color="auto"/>
            <w:right w:val="none" w:sz="0" w:space="0" w:color="auto"/>
          </w:divBdr>
          <w:divsChild>
            <w:div w:id="1714187619">
              <w:marLeft w:val="0"/>
              <w:marRight w:val="0"/>
              <w:marTop w:val="0"/>
              <w:marBottom w:val="0"/>
              <w:divBdr>
                <w:top w:val="none" w:sz="0" w:space="0" w:color="auto"/>
                <w:left w:val="none" w:sz="0" w:space="0" w:color="auto"/>
                <w:bottom w:val="none" w:sz="0" w:space="0" w:color="auto"/>
                <w:right w:val="none" w:sz="0" w:space="0" w:color="auto"/>
              </w:divBdr>
              <w:divsChild>
                <w:div w:id="950818791">
                  <w:marLeft w:val="0"/>
                  <w:marRight w:val="0"/>
                  <w:marTop w:val="0"/>
                  <w:marBottom w:val="0"/>
                  <w:divBdr>
                    <w:top w:val="none" w:sz="0" w:space="0" w:color="auto"/>
                    <w:left w:val="none" w:sz="0" w:space="0" w:color="auto"/>
                    <w:bottom w:val="none" w:sz="0" w:space="0" w:color="auto"/>
                    <w:right w:val="none" w:sz="0" w:space="0" w:color="auto"/>
                  </w:divBdr>
                  <w:divsChild>
                    <w:div w:id="974409441">
                      <w:marLeft w:val="0"/>
                      <w:marRight w:val="0"/>
                      <w:marTop w:val="0"/>
                      <w:marBottom w:val="0"/>
                      <w:divBdr>
                        <w:top w:val="none" w:sz="0" w:space="0" w:color="auto"/>
                        <w:left w:val="none" w:sz="0" w:space="0" w:color="auto"/>
                        <w:bottom w:val="none" w:sz="0" w:space="0" w:color="auto"/>
                        <w:right w:val="none" w:sz="0" w:space="0" w:color="auto"/>
                      </w:divBdr>
                      <w:divsChild>
                        <w:div w:id="290788251">
                          <w:marLeft w:val="0"/>
                          <w:marRight w:val="0"/>
                          <w:marTop w:val="0"/>
                          <w:marBottom w:val="0"/>
                          <w:divBdr>
                            <w:top w:val="none" w:sz="0" w:space="0" w:color="auto"/>
                            <w:left w:val="none" w:sz="0" w:space="0" w:color="auto"/>
                            <w:bottom w:val="none" w:sz="0" w:space="0" w:color="auto"/>
                            <w:right w:val="none" w:sz="0" w:space="0" w:color="auto"/>
                          </w:divBdr>
                          <w:divsChild>
                            <w:div w:id="344748247">
                              <w:marLeft w:val="0"/>
                              <w:marRight w:val="0"/>
                              <w:marTop w:val="0"/>
                              <w:marBottom w:val="0"/>
                              <w:divBdr>
                                <w:top w:val="none" w:sz="0" w:space="0" w:color="auto"/>
                                <w:left w:val="none" w:sz="0" w:space="0" w:color="auto"/>
                                <w:bottom w:val="none" w:sz="0" w:space="0" w:color="auto"/>
                                <w:right w:val="none" w:sz="0" w:space="0" w:color="auto"/>
                              </w:divBdr>
                              <w:divsChild>
                                <w:div w:id="203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69098">
      <w:bodyDiv w:val="1"/>
      <w:marLeft w:val="0"/>
      <w:marRight w:val="0"/>
      <w:marTop w:val="0"/>
      <w:marBottom w:val="0"/>
      <w:divBdr>
        <w:top w:val="none" w:sz="0" w:space="0" w:color="auto"/>
        <w:left w:val="none" w:sz="0" w:space="0" w:color="auto"/>
        <w:bottom w:val="none" w:sz="0" w:space="0" w:color="auto"/>
        <w:right w:val="none" w:sz="0" w:space="0" w:color="auto"/>
      </w:divBdr>
    </w:div>
    <w:div w:id="1966546466">
      <w:bodyDiv w:val="1"/>
      <w:marLeft w:val="0"/>
      <w:marRight w:val="0"/>
      <w:marTop w:val="0"/>
      <w:marBottom w:val="0"/>
      <w:divBdr>
        <w:top w:val="none" w:sz="0" w:space="0" w:color="auto"/>
        <w:left w:val="none" w:sz="0" w:space="0" w:color="auto"/>
        <w:bottom w:val="none" w:sz="0" w:space="0" w:color="auto"/>
        <w:right w:val="none" w:sz="0" w:space="0" w:color="auto"/>
      </w:divBdr>
    </w:div>
    <w:div w:id="2126658609">
      <w:bodyDiv w:val="1"/>
      <w:marLeft w:val="0"/>
      <w:marRight w:val="0"/>
      <w:marTop w:val="0"/>
      <w:marBottom w:val="0"/>
      <w:divBdr>
        <w:top w:val="none" w:sz="0" w:space="0" w:color="auto"/>
        <w:left w:val="none" w:sz="0" w:space="0" w:color="auto"/>
        <w:bottom w:val="none" w:sz="0" w:space="0" w:color="auto"/>
        <w:right w:val="none" w:sz="0" w:space="0" w:color="auto"/>
      </w:divBdr>
      <w:divsChild>
        <w:div w:id="32313562">
          <w:marLeft w:val="0"/>
          <w:marRight w:val="0"/>
          <w:marTop w:val="0"/>
          <w:marBottom w:val="0"/>
          <w:divBdr>
            <w:top w:val="none" w:sz="0" w:space="0" w:color="auto"/>
            <w:left w:val="none" w:sz="0" w:space="0" w:color="auto"/>
            <w:bottom w:val="none" w:sz="0" w:space="0" w:color="auto"/>
            <w:right w:val="none" w:sz="0" w:space="0" w:color="auto"/>
          </w:divBdr>
          <w:divsChild>
            <w:div w:id="1189754370">
              <w:marLeft w:val="0"/>
              <w:marRight w:val="0"/>
              <w:marTop w:val="0"/>
              <w:marBottom w:val="0"/>
              <w:divBdr>
                <w:top w:val="none" w:sz="0" w:space="0" w:color="auto"/>
                <w:left w:val="none" w:sz="0" w:space="0" w:color="auto"/>
                <w:bottom w:val="none" w:sz="0" w:space="0" w:color="auto"/>
                <w:right w:val="none" w:sz="0" w:space="0" w:color="auto"/>
              </w:divBdr>
              <w:divsChild>
                <w:div w:id="1180894927">
                  <w:marLeft w:val="0"/>
                  <w:marRight w:val="0"/>
                  <w:marTop w:val="0"/>
                  <w:marBottom w:val="0"/>
                  <w:divBdr>
                    <w:top w:val="none" w:sz="0" w:space="12" w:color="auto"/>
                    <w:left w:val="none" w:sz="0" w:space="12" w:color="auto"/>
                    <w:bottom w:val="none" w:sz="0" w:space="12" w:color="auto"/>
                    <w:right w:val="none" w:sz="0" w:space="12" w:color="auto"/>
                  </w:divBdr>
                  <w:divsChild>
                    <w:div w:id="959186276">
                      <w:marLeft w:val="0"/>
                      <w:marRight w:val="0"/>
                      <w:marTop w:val="0"/>
                      <w:marBottom w:val="0"/>
                      <w:divBdr>
                        <w:top w:val="none" w:sz="0" w:space="12" w:color="auto"/>
                        <w:left w:val="none" w:sz="0" w:space="12" w:color="auto"/>
                        <w:bottom w:val="none" w:sz="0" w:space="12" w:color="auto"/>
                        <w:right w:val="none" w:sz="0" w:space="12" w:color="auto"/>
                      </w:divBdr>
                      <w:divsChild>
                        <w:div w:id="2033023296">
                          <w:marLeft w:val="0"/>
                          <w:marRight w:val="0"/>
                          <w:marTop w:val="0"/>
                          <w:marBottom w:val="0"/>
                          <w:divBdr>
                            <w:top w:val="none" w:sz="0" w:space="0" w:color="auto"/>
                            <w:left w:val="none" w:sz="0" w:space="0" w:color="auto"/>
                            <w:bottom w:val="none" w:sz="0" w:space="0" w:color="auto"/>
                            <w:right w:val="none" w:sz="0" w:space="0" w:color="auto"/>
                          </w:divBdr>
                          <w:divsChild>
                            <w:div w:id="1735010346">
                              <w:marLeft w:val="-225"/>
                              <w:marRight w:val="-225"/>
                              <w:marTop w:val="0"/>
                              <w:marBottom w:val="0"/>
                              <w:divBdr>
                                <w:top w:val="none" w:sz="0" w:space="0" w:color="auto"/>
                                <w:left w:val="none" w:sz="0" w:space="0" w:color="auto"/>
                                <w:bottom w:val="none" w:sz="0" w:space="0" w:color="auto"/>
                                <w:right w:val="none" w:sz="0" w:space="0" w:color="auto"/>
                              </w:divBdr>
                              <w:divsChild>
                                <w:div w:id="182405104">
                                  <w:marLeft w:val="0"/>
                                  <w:marRight w:val="0"/>
                                  <w:marTop w:val="0"/>
                                  <w:marBottom w:val="0"/>
                                  <w:divBdr>
                                    <w:top w:val="none" w:sz="0" w:space="0" w:color="auto"/>
                                    <w:left w:val="none" w:sz="0" w:space="0" w:color="auto"/>
                                    <w:bottom w:val="none" w:sz="0" w:space="0" w:color="auto"/>
                                    <w:right w:val="none" w:sz="0" w:space="0" w:color="auto"/>
                                  </w:divBdr>
                                  <w:divsChild>
                                    <w:div w:id="1836257868">
                                      <w:marLeft w:val="0"/>
                                      <w:marRight w:val="0"/>
                                      <w:marTop w:val="0"/>
                                      <w:marBottom w:val="0"/>
                                      <w:divBdr>
                                        <w:top w:val="none" w:sz="0" w:space="0" w:color="auto"/>
                                        <w:left w:val="none" w:sz="0" w:space="0" w:color="auto"/>
                                        <w:bottom w:val="none" w:sz="0" w:space="0" w:color="auto"/>
                                        <w:right w:val="none" w:sz="0" w:space="0" w:color="auto"/>
                                      </w:divBdr>
                                      <w:divsChild>
                                        <w:div w:id="788091041">
                                          <w:marLeft w:val="-225"/>
                                          <w:marRight w:val="-225"/>
                                          <w:marTop w:val="0"/>
                                          <w:marBottom w:val="0"/>
                                          <w:divBdr>
                                            <w:top w:val="none" w:sz="0" w:space="0" w:color="auto"/>
                                            <w:left w:val="none" w:sz="0" w:space="0" w:color="auto"/>
                                            <w:bottom w:val="none" w:sz="0" w:space="0" w:color="auto"/>
                                            <w:right w:val="none" w:sz="0" w:space="0" w:color="auto"/>
                                          </w:divBdr>
                                          <w:divsChild>
                                            <w:div w:id="897203052">
                                              <w:marLeft w:val="0"/>
                                              <w:marRight w:val="0"/>
                                              <w:marTop w:val="0"/>
                                              <w:marBottom w:val="0"/>
                                              <w:divBdr>
                                                <w:top w:val="none" w:sz="0" w:space="0" w:color="auto"/>
                                                <w:left w:val="none" w:sz="0" w:space="0" w:color="auto"/>
                                                <w:bottom w:val="none" w:sz="0" w:space="0" w:color="auto"/>
                                                <w:right w:val="none" w:sz="0" w:space="0" w:color="auto"/>
                                              </w:divBdr>
                                            </w:div>
                                          </w:divsChild>
                                        </w:div>
                                        <w:div w:id="1565870029">
                                          <w:marLeft w:val="-225"/>
                                          <w:marRight w:val="-225"/>
                                          <w:marTop w:val="0"/>
                                          <w:marBottom w:val="0"/>
                                          <w:divBdr>
                                            <w:top w:val="none" w:sz="0" w:space="0" w:color="auto"/>
                                            <w:left w:val="none" w:sz="0" w:space="0" w:color="auto"/>
                                            <w:bottom w:val="none" w:sz="0" w:space="0" w:color="auto"/>
                                            <w:right w:val="none" w:sz="0" w:space="0" w:color="auto"/>
                                          </w:divBdr>
                                          <w:divsChild>
                                            <w:div w:id="1264414173">
                                              <w:marLeft w:val="0"/>
                                              <w:marRight w:val="0"/>
                                              <w:marTop w:val="0"/>
                                              <w:marBottom w:val="0"/>
                                              <w:divBdr>
                                                <w:top w:val="none" w:sz="0" w:space="0" w:color="auto"/>
                                                <w:left w:val="none" w:sz="0" w:space="0" w:color="auto"/>
                                                <w:bottom w:val="none" w:sz="0" w:space="0" w:color="auto"/>
                                                <w:right w:val="none" w:sz="0" w:space="0" w:color="auto"/>
                                              </w:divBdr>
                                            </w:div>
                                          </w:divsChild>
                                        </w:div>
                                        <w:div w:id="74206983">
                                          <w:marLeft w:val="0"/>
                                          <w:marRight w:val="0"/>
                                          <w:marTop w:val="0"/>
                                          <w:marBottom w:val="0"/>
                                          <w:divBdr>
                                            <w:top w:val="none" w:sz="0" w:space="0" w:color="auto"/>
                                            <w:left w:val="none" w:sz="0" w:space="0" w:color="auto"/>
                                            <w:bottom w:val="none" w:sz="0" w:space="0" w:color="auto"/>
                                            <w:right w:val="none" w:sz="0" w:space="0" w:color="auto"/>
                                          </w:divBdr>
                                          <w:divsChild>
                                            <w:div w:id="230386878">
                                              <w:marLeft w:val="0"/>
                                              <w:marRight w:val="0"/>
                                              <w:marTop w:val="0"/>
                                              <w:marBottom w:val="0"/>
                                              <w:divBdr>
                                                <w:top w:val="none" w:sz="0" w:space="0" w:color="auto"/>
                                                <w:left w:val="none" w:sz="0" w:space="0" w:color="auto"/>
                                                <w:bottom w:val="none" w:sz="0" w:space="0" w:color="auto"/>
                                                <w:right w:val="none" w:sz="0" w:space="0" w:color="auto"/>
                                              </w:divBdr>
                                            </w:div>
                                            <w:div w:id="1309818712">
                                              <w:marLeft w:val="0"/>
                                              <w:marRight w:val="0"/>
                                              <w:marTop w:val="0"/>
                                              <w:marBottom w:val="0"/>
                                              <w:divBdr>
                                                <w:top w:val="none" w:sz="0" w:space="0" w:color="auto"/>
                                                <w:left w:val="none" w:sz="0" w:space="0" w:color="auto"/>
                                                <w:bottom w:val="none" w:sz="0" w:space="0" w:color="auto"/>
                                                <w:right w:val="none" w:sz="0" w:space="0" w:color="auto"/>
                                              </w:divBdr>
                                            </w:div>
                                            <w:div w:id="562762251">
                                              <w:marLeft w:val="0"/>
                                              <w:marRight w:val="0"/>
                                              <w:marTop w:val="0"/>
                                              <w:marBottom w:val="0"/>
                                              <w:divBdr>
                                                <w:top w:val="none" w:sz="0" w:space="0" w:color="auto"/>
                                                <w:left w:val="none" w:sz="0" w:space="0" w:color="auto"/>
                                                <w:bottom w:val="none" w:sz="0" w:space="0" w:color="auto"/>
                                                <w:right w:val="none" w:sz="0" w:space="0" w:color="auto"/>
                                              </w:divBdr>
                                            </w:div>
                                            <w:div w:id="860046223">
                                              <w:marLeft w:val="0"/>
                                              <w:marRight w:val="0"/>
                                              <w:marTop w:val="0"/>
                                              <w:marBottom w:val="0"/>
                                              <w:divBdr>
                                                <w:top w:val="none" w:sz="0" w:space="0" w:color="auto"/>
                                                <w:left w:val="none" w:sz="0" w:space="0" w:color="auto"/>
                                                <w:bottom w:val="none" w:sz="0" w:space="0" w:color="auto"/>
                                                <w:right w:val="none" w:sz="0" w:space="0" w:color="auto"/>
                                              </w:divBdr>
                                            </w:div>
                                            <w:div w:id="1308779988">
                                              <w:marLeft w:val="0"/>
                                              <w:marRight w:val="0"/>
                                              <w:marTop w:val="0"/>
                                              <w:marBottom w:val="0"/>
                                              <w:divBdr>
                                                <w:top w:val="none" w:sz="0" w:space="0" w:color="auto"/>
                                                <w:left w:val="none" w:sz="0" w:space="0" w:color="auto"/>
                                                <w:bottom w:val="none" w:sz="0" w:space="0" w:color="auto"/>
                                                <w:right w:val="none" w:sz="0" w:space="0" w:color="auto"/>
                                              </w:divBdr>
                                            </w:div>
                                            <w:div w:id="2029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compliance.attask-ondemand.com/login" TargetMode="External"/><Relationship Id="rId13" Type="http://schemas.openxmlformats.org/officeDocument/2006/relationships/hyperlink" Target="https://nwcompliance.org/nascus-dfi-credit-union-executive-forum/" TargetMode="External"/><Relationship Id="rId18" Type="http://schemas.openxmlformats.org/officeDocument/2006/relationships/hyperlink" Target="https://nwcompliance.org/prepaid-rule-short-form-disclosure-guide/" TargetMode="External"/><Relationship Id="rId26" Type="http://schemas.openxmlformats.org/officeDocument/2006/relationships/hyperlink" Target="https://olis.leg.state.or.us/liz/2017R1/Measures/Overview/SB113?pubDate=2017-03-02-11-25" TargetMode="External"/><Relationship Id="rId3" Type="http://schemas.openxmlformats.org/officeDocument/2006/relationships/settings" Target="settings.xml"/><Relationship Id="rId21" Type="http://schemas.openxmlformats.org/officeDocument/2006/relationships/hyperlink" Target="https://olis.leg.state.or.us/liz/2017R1/Measures/Overview/HB2359?pubDate=2017-02-27-08-36" TargetMode="External"/><Relationship Id="rId7" Type="http://schemas.openxmlformats.org/officeDocument/2006/relationships/hyperlink" Target="http://www.nwcompliance.org" TargetMode="External"/><Relationship Id="rId12" Type="http://schemas.openxmlformats.org/officeDocument/2006/relationships/hyperlink" Target="https://nwcompliance.org/dot-creditunion/" TargetMode="External"/><Relationship Id="rId17" Type="http://schemas.openxmlformats.org/officeDocument/2006/relationships/hyperlink" Target="https://nwcompliance.org/fdic-supervisory-insights-credit-risk-trends/" TargetMode="External"/><Relationship Id="rId25" Type="http://schemas.openxmlformats.org/officeDocument/2006/relationships/hyperlink" Target="https://olis.leg.state.or.us/liz/2017R1/Measures/Overview/HB2346?pubDate=2017-02-22-09-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wcompliance.org/dcu-bulletin-b-17-07-assets-process-liquidation/" TargetMode="External"/><Relationship Id="rId20" Type="http://schemas.openxmlformats.org/officeDocument/2006/relationships/hyperlink" Target="https://olis.leg.state.or.us/liz/2017R1/Measures/Overview/HB2161" TargetMode="External"/><Relationship Id="rId29" Type="http://schemas.openxmlformats.org/officeDocument/2006/relationships/hyperlink" Target="http://app.leg.wa.gov/billsummary?BillNumber=1318&amp;Year=2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17/03/15/2017-05060/prepaid-accounts-under-the-electronic-fund-transfer-act-regulation-e-and-the-truth-in-lending-act" TargetMode="External"/><Relationship Id="rId24" Type="http://schemas.openxmlformats.org/officeDocument/2006/relationships/hyperlink" Target="https://olis.leg.state.or.us/liz/2017R1/Measures/Overview/HB2229?pubDate=2017-02-27-16-5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wcompliance.org/dcu-bulletin-b-17-06-obtaining-audit-reports-third-party-providers/" TargetMode="External"/><Relationship Id="rId23" Type="http://schemas.openxmlformats.org/officeDocument/2006/relationships/hyperlink" Target="https://olis.leg.state.or.us/liz/2017R1/Measures/Overview/HB2622?pubDate=2017-02-27-10-55" TargetMode="External"/><Relationship Id="rId28" Type="http://schemas.openxmlformats.org/officeDocument/2006/relationships/hyperlink" Target="http://app.leg.wa.gov/billsummary?BillNumber=1209&amp;Year=2017" TargetMode="External"/><Relationship Id="rId10" Type="http://schemas.openxmlformats.org/officeDocument/2006/relationships/hyperlink" Target="https://nwcompliance.org/proposed-changes-regulation-b-match-regulation-c/" TargetMode="External"/><Relationship Id="rId19" Type="http://schemas.openxmlformats.org/officeDocument/2006/relationships/hyperlink" Target="https://nwcompliance.org/oregon-proposed-hb-2581-access-device-security-breach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nwcompliance.org/nascus-cybersecurity-symposium/" TargetMode="External"/><Relationship Id="rId22" Type="http://schemas.openxmlformats.org/officeDocument/2006/relationships/hyperlink" Target="https://olis.leg.state.or.us/liz/2017R1/Measures/Overview/HB2624?pubDate=2017-02-27-08-36" TargetMode="External"/><Relationship Id="rId27" Type="http://schemas.openxmlformats.org/officeDocument/2006/relationships/hyperlink" Target="https://olis.leg.state.or.us/liz/2017R1/Measures/Overview/SB254?pubDate=2017-03-02-11-25"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Jim McKinney</cp:lastModifiedBy>
  <cp:revision>5</cp:revision>
  <cp:lastPrinted>2016-12-27T17:43:00Z</cp:lastPrinted>
  <dcterms:created xsi:type="dcterms:W3CDTF">2017-03-29T15:42:00Z</dcterms:created>
  <dcterms:modified xsi:type="dcterms:W3CDTF">2017-04-02T14:39:00Z</dcterms:modified>
</cp:coreProperties>
</file>