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EDC" w:rsidRDefault="00F90EDC">
      <w:pPr>
        <w:rPr>
          <w:b/>
          <w:sz w:val="28"/>
          <w:szCs w:val="28"/>
        </w:rPr>
      </w:pPr>
      <w:r>
        <w:rPr>
          <w:b/>
          <w:sz w:val="28"/>
          <w:szCs w:val="28"/>
        </w:rPr>
        <w:t>Reminder:</w:t>
      </w:r>
    </w:p>
    <w:p w:rsidR="00062373" w:rsidRDefault="00F90EDC">
      <w:pPr>
        <w:rPr>
          <w:sz w:val="28"/>
          <w:szCs w:val="28"/>
        </w:rPr>
      </w:pPr>
      <w:r>
        <w:rPr>
          <w:sz w:val="28"/>
          <w:szCs w:val="28"/>
        </w:rPr>
        <w:t xml:space="preserve">Please use the Client Request link from our website, </w:t>
      </w:r>
      <w:hyperlink r:id="rId7" w:history="1">
        <w:r w:rsidRPr="00647CE9">
          <w:rPr>
            <w:rStyle w:val="Hyperlink"/>
            <w:sz w:val="28"/>
            <w:szCs w:val="28"/>
          </w:rPr>
          <w:t>www.nwcompliance.org</w:t>
        </w:r>
      </w:hyperlink>
      <w:r>
        <w:rPr>
          <w:sz w:val="28"/>
          <w:szCs w:val="28"/>
        </w:rPr>
        <w:t xml:space="preserve">, when submitting ticket requests.  This link takes you to our Workfront portal, but we </w:t>
      </w:r>
      <w:r w:rsidR="00062373">
        <w:rPr>
          <w:sz w:val="28"/>
          <w:szCs w:val="28"/>
        </w:rPr>
        <w:t xml:space="preserve">may </w:t>
      </w:r>
      <w:r>
        <w:rPr>
          <w:sz w:val="28"/>
          <w:szCs w:val="28"/>
        </w:rPr>
        <w:t>also include information on</w:t>
      </w:r>
      <w:r w:rsidR="006B3DE0">
        <w:rPr>
          <w:sz w:val="28"/>
          <w:szCs w:val="28"/>
        </w:rPr>
        <w:t xml:space="preserve"> an</w:t>
      </w:r>
      <w:r>
        <w:rPr>
          <w:sz w:val="28"/>
          <w:szCs w:val="28"/>
        </w:rPr>
        <w:t xml:space="preserve"> int</w:t>
      </w:r>
      <w:r w:rsidR="00062373">
        <w:rPr>
          <w:sz w:val="28"/>
          <w:szCs w:val="28"/>
        </w:rPr>
        <w:t>erstitial</w:t>
      </w:r>
      <w:r>
        <w:rPr>
          <w:sz w:val="28"/>
          <w:szCs w:val="28"/>
        </w:rPr>
        <w:t xml:space="preserve"> page</w:t>
      </w:r>
      <w:r w:rsidR="00062373">
        <w:rPr>
          <w:sz w:val="28"/>
          <w:szCs w:val="28"/>
        </w:rPr>
        <w:t xml:space="preserve"> that could impact the response timing of your request, or other news regarding NWCG.  </w:t>
      </w:r>
      <w:r w:rsidR="006B3DE0">
        <w:rPr>
          <w:sz w:val="28"/>
          <w:szCs w:val="28"/>
        </w:rPr>
        <w:t xml:space="preserve">If our website is down, you can go directly to </w:t>
      </w:r>
      <w:hyperlink r:id="rId8" w:history="1">
        <w:r w:rsidR="006B3DE0" w:rsidRPr="00647CE9">
          <w:rPr>
            <w:rStyle w:val="Hyperlink"/>
            <w:sz w:val="28"/>
            <w:szCs w:val="28"/>
          </w:rPr>
          <w:t>https://nwcompliance.attask-ondemand.com/login</w:t>
        </w:r>
      </w:hyperlink>
      <w:r w:rsidR="006B3DE0">
        <w:rPr>
          <w:sz w:val="28"/>
          <w:szCs w:val="28"/>
        </w:rPr>
        <w:t xml:space="preserve"> to submit your request.</w:t>
      </w:r>
    </w:p>
    <w:p w:rsidR="006B3DE0" w:rsidRDefault="006B3DE0" w:rsidP="006B3DE0">
      <w:pPr>
        <w:jc w:val="center"/>
        <w:rPr>
          <w:sz w:val="28"/>
          <w:szCs w:val="28"/>
        </w:rPr>
      </w:pPr>
      <w:r w:rsidRPr="006B3DE0">
        <w:rPr>
          <w:noProof/>
          <w:sz w:val="28"/>
          <w:szCs w:val="28"/>
        </w:rPr>
        <w:drawing>
          <wp:inline distT="0" distB="0" distL="0" distR="0" wp14:anchorId="1E8E491B" wp14:editId="03DE7DA9">
            <wp:extent cx="4662522" cy="2900384"/>
            <wp:effectExtent l="19050" t="19050" r="24130"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62522" cy="2900384"/>
                    </a:xfrm>
                    <a:prstGeom prst="rect">
                      <a:avLst/>
                    </a:prstGeom>
                    <a:ln>
                      <a:solidFill>
                        <a:schemeClr val="accent1"/>
                      </a:solidFill>
                    </a:ln>
                  </pic:spPr>
                </pic:pic>
              </a:graphicData>
            </a:graphic>
          </wp:inline>
        </w:drawing>
      </w:r>
    </w:p>
    <w:p w:rsidR="00F90EDC" w:rsidRDefault="00F90EDC">
      <w:pPr>
        <w:rPr>
          <w:b/>
          <w:sz w:val="28"/>
          <w:szCs w:val="28"/>
        </w:rPr>
      </w:pPr>
      <w:r>
        <w:rPr>
          <w:b/>
          <w:sz w:val="28"/>
          <w:szCs w:val="28"/>
        </w:rPr>
        <w:br w:type="page"/>
      </w:r>
    </w:p>
    <w:p w:rsidR="004670B2" w:rsidRPr="00967605" w:rsidRDefault="004670B2" w:rsidP="007B2E65">
      <w:pPr>
        <w:spacing w:after="0"/>
        <w:rPr>
          <w:sz w:val="28"/>
          <w:szCs w:val="28"/>
        </w:rPr>
      </w:pPr>
      <w:r w:rsidRPr="00967605">
        <w:rPr>
          <w:b/>
          <w:sz w:val="28"/>
          <w:szCs w:val="28"/>
        </w:rPr>
        <w:lastRenderedPageBreak/>
        <w:t>FINAL REGULATIONS</w:t>
      </w:r>
      <w:r w:rsidR="008756E8">
        <w:rPr>
          <w:b/>
          <w:sz w:val="28"/>
          <w:szCs w:val="28"/>
        </w:rPr>
        <w:t>/RULES</w:t>
      </w:r>
    </w:p>
    <w:tbl>
      <w:tblPr>
        <w:tblStyle w:val="TableGrid"/>
        <w:tblW w:w="13176" w:type="dxa"/>
        <w:tblLook w:val="04A0" w:firstRow="1" w:lastRow="0" w:firstColumn="1" w:lastColumn="0" w:noHBand="0" w:noVBand="1"/>
      </w:tblPr>
      <w:tblGrid>
        <w:gridCol w:w="1278"/>
        <w:gridCol w:w="2250"/>
        <w:gridCol w:w="1440"/>
        <w:gridCol w:w="8208"/>
      </w:tblGrid>
      <w:tr w:rsidR="00AC6A22" w:rsidTr="00AC6A22">
        <w:tc>
          <w:tcPr>
            <w:tcW w:w="1278" w:type="dxa"/>
            <w:tcBorders>
              <w:top w:val="nil"/>
              <w:left w:val="nil"/>
              <w:right w:val="nil"/>
            </w:tcBorders>
          </w:tcPr>
          <w:p w:rsidR="00AC6A22" w:rsidRDefault="00AC6A22" w:rsidP="00413996">
            <w:pPr>
              <w:rPr>
                <w:b/>
              </w:rPr>
            </w:pPr>
            <w:r>
              <w:rPr>
                <w:b/>
              </w:rPr>
              <w:t>Effective Date</w:t>
            </w:r>
          </w:p>
        </w:tc>
        <w:tc>
          <w:tcPr>
            <w:tcW w:w="2250" w:type="dxa"/>
            <w:tcBorders>
              <w:top w:val="nil"/>
              <w:left w:val="nil"/>
              <w:right w:val="nil"/>
            </w:tcBorders>
          </w:tcPr>
          <w:p w:rsidR="00AC6A22" w:rsidRDefault="00AC6A22" w:rsidP="00413996">
            <w:pPr>
              <w:rPr>
                <w:b/>
              </w:rPr>
            </w:pPr>
            <w:r>
              <w:rPr>
                <w:b/>
              </w:rPr>
              <w:t>Regulation</w:t>
            </w:r>
          </w:p>
        </w:tc>
        <w:tc>
          <w:tcPr>
            <w:tcW w:w="1440" w:type="dxa"/>
            <w:tcBorders>
              <w:top w:val="nil"/>
              <w:left w:val="nil"/>
              <w:right w:val="nil"/>
            </w:tcBorders>
          </w:tcPr>
          <w:p w:rsidR="00AC6A22" w:rsidRDefault="00AC6A22" w:rsidP="00413996">
            <w:pPr>
              <w:rPr>
                <w:b/>
              </w:rPr>
            </w:pPr>
            <w:r>
              <w:rPr>
                <w:b/>
              </w:rPr>
              <w:t>Citation</w:t>
            </w:r>
          </w:p>
        </w:tc>
        <w:tc>
          <w:tcPr>
            <w:tcW w:w="8208" w:type="dxa"/>
            <w:tcBorders>
              <w:top w:val="nil"/>
              <w:left w:val="nil"/>
              <w:right w:val="nil"/>
            </w:tcBorders>
          </w:tcPr>
          <w:p w:rsidR="00AC6A22" w:rsidRDefault="00AC6A22" w:rsidP="00413996">
            <w:pPr>
              <w:rPr>
                <w:b/>
              </w:rPr>
            </w:pPr>
            <w:r>
              <w:rPr>
                <w:b/>
              </w:rPr>
              <w:t>Summary</w:t>
            </w:r>
          </w:p>
        </w:tc>
      </w:tr>
      <w:tr w:rsidR="00B532FB" w:rsidRPr="00967605" w:rsidTr="00AC6A22">
        <w:tc>
          <w:tcPr>
            <w:tcW w:w="1278" w:type="dxa"/>
          </w:tcPr>
          <w:p w:rsidR="00630DEC" w:rsidRPr="00891FE6" w:rsidRDefault="00630DEC" w:rsidP="00413996"/>
        </w:tc>
        <w:tc>
          <w:tcPr>
            <w:tcW w:w="2250" w:type="dxa"/>
          </w:tcPr>
          <w:p w:rsidR="00B532FB" w:rsidRDefault="00B532FB" w:rsidP="000C6F62"/>
        </w:tc>
        <w:tc>
          <w:tcPr>
            <w:tcW w:w="1440" w:type="dxa"/>
          </w:tcPr>
          <w:p w:rsidR="00B532FB" w:rsidRDefault="00B532FB" w:rsidP="006E10DB">
            <w:pPr>
              <w:spacing w:after="120"/>
            </w:pPr>
          </w:p>
        </w:tc>
        <w:tc>
          <w:tcPr>
            <w:tcW w:w="8208" w:type="dxa"/>
          </w:tcPr>
          <w:p w:rsidR="00630DEC" w:rsidRDefault="00933EB4" w:rsidP="000F5081">
            <w:r>
              <w:t xml:space="preserve"> </w:t>
            </w:r>
          </w:p>
        </w:tc>
      </w:tr>
      <w:tr w:rsidR="007A4A48" w:rsidRPr="00967605" w:rsidTr="00AC6A22">
        <w:tc>
          <w:tcPr>
            <w:tcW w:w="1278" w:type="dxa"/>
          </w:tcPr>
          <w:p w:rsidR="007A4A48" w:rsidRPr="00891FE6" w:rsidRDefault="007A4A48" w:rsidP="00413996"/>
        </w:tc>
        <w:tc>
          <w:tcPr>
            <w:tcW w:w="2250" w:type="dxa"/>
          </w:tcPr>
          <w:p w:rsidR="007A4A48" w:rsidRDefault="007A4A48" w:rsidP="000C6F62"/>
        </w:tc>
        <w:tc>
          <w:tcPr>
            <w:tcW w:w="1440" w:type="dxa"/>
          </w:tcPr>
          <w:p w:rsidR="007A4A48" w:rsidRDefault="007A4A48" w:rsidP="006E10DB">
            <w:pPr>
              <w:spacing w:after="120"/>
            </w:pPr>
          </w:p>
        </w:tc>
        <w:tc>
          <w:tcPr>
            <w:tcW w:w="8208" w:type="dxa"/>
          </w:tcPr>
          <w:p w:rsidR="007A4A48" w:rsidRPr="002B082F" w:rsidRDefault="007A4A48" w:rsidP="007A4A48"/>
        </w:tc>
      </w:tr>
    </w:tbl>
    <w:p w:rsidR="00CE26B8" w:rsidRPr="00CE26B8" w:rsidRDefault="00CE26B8" w:rsidP="000F5081">
      <w:pPr>
        <w:spacing w:after="0" w:line="240" w:lineRule="auto"/>
      </w:pPr>
    </w:p>
    <w:p w:rsidR="003B2BCF" w:rsidRDefault="00DC082C" w:rsidP="007B2E65">
      <w:pPr>
        <w:spacing w:before="240" w:after="0"/>
        <w:rPr>
          <w:b/>
          <w:sz w:val="28"/>
          <w:szCs w:val="28"/>
        </w:rPr>
      </w:pPr>
      <w:r>
        <w:rPr>
          <w:b/>
          <w:sz w:val="28"/>
          <w:szCs w:val="28"/>
        </w:rPr>
        <w:t>PROPOSED REGULATIONS</w:t>
      </w:r>
    </w:p>
    <w:tbl>
      <w:tblPr>
        <w:tblStyle w:val="TableGrid"/>
        <w:tblW w:w="13176" w:type="dxa"/>
        <w:tblLook w:val="04A0" w:firstRow="1" w:lastRow="0" w:firstColumn="1" w:lastColumn="0" w:noHBand="0" w:noVBand="1"/>
      </w:tblPr>
      <w:tblGrid>
        <w:gridCol w:w="1278"/>
        <w:gridCol w:w="2282"/>
        <w:gridCol w:w="1411"/>
        <w:gridCol w:w="8205"/>
      </w:tblGrid>
      <w:tr w:rsidR="00DC082C" w:rsidTr="00413996">
        <w:tc>
          <w:tcPr>
            <w:tcW w:w="1278" w:type="dxa"/>
            <w:tcBorders>
              <w:top w:val="nil"/>
              <w:left w:val="nil"/>
              <w:right w:val="nil"/>
            </w:tcBorders>
          </w:tcPr>
          <w:p w:rsidR="00DC082C" w:rsidRDefault="00DC082C" w:rsidP="00413996">
            <w:pPr>
              <w:rPr>
                <w:b/>
              </w:rPr>
            </w:pPr>
            <w:r>
              <w:rPr>
                <w:b/>
              </w:rPr>
              <w:t>Comments Due</w:t>
            </w:r>
          </w:p>
        </w:tc>
        <w:tc>
          <w:tcPr>
            <w:tcW w:w="2282" w:type="dxa"/>
            <w:tcBorders>
              <w:top w:val="nil"/>
              <w:left w:val="nil"/>
              <w:right w:val="nil"/>
            </w:tcBorders>
          </w:tcPr>
          <w:p w:rsidR="00DC082C" w:rsidRDefault="00DC082C" w:rsidP="00413996">
            <w:pPr>
              <w:rPr>
                <w:b/>
              </w:rPr>
            </w:pPr>
            <w:r>
              <w:rPr>
                <w:b/>
              </w:rPr>
              <w:t>Regulation</w:t>
            </w:r>
          </w:p>
        </w:tc>
        <w:tc>
          <w:tcPr>
            <w:tcW w:w="1411" w:type="dxa"/>
            <w:tcBorders>
              <w:top w:val="nil"/>
              <w:left w:val="nil"/>
              <w:right w:val="nil"/>
            </w:tcBorders>
          </w:tcPr>
          <w:p w:rsidR="00DC082C" w:rsidRDefault="00DC082C" w:rsidP="00413996">
            <w:pPr>
              <w:rPr>
                <w:b/>
              </w:rPr>
            </w:pPr>
            <w:r>
              <w:rPr>
                <w:b/>
              </w:rPr>
              <w:t>Citation</w:t>
            </w:r>
          </w:p>
        </w:tc>
        <w:tc>
          <w:tcPr>
            <w:tcW w:w="8205" w:type="dxa"/>
            <w:tcBorders>
              <w:top w:val="nil"/>
              <w:left w:val="nil"/>
              <w:right w:val="nil"/>
            </w:tcBorders>
          </w:tcPr>
          <w:p w:rsidR="00DC082C" w:rsidRDefault="00DC082C" w:rsidP="00413996">
            <w:pPr>
              <w:rPr>
                <w:b/>
              </w:rPr>
            </w:pPr>
            <w:r>
              <w:rPr>
                <w:b/>
              </w:rPr>
              <w:t>Summary</w:t>
            </w:r>
          </w:p>
        </w:tc>
      </w:tr>
      <w:tr w:rsidR="00152E97" w:rsidRPr="00967605" w:rsidTr="00413996">
        <w:tc>
          <w:tcPr>
            <w:tcW w:w="1278" w:type="dxa"/>
          </w:tcPr>
          <w:p w:rsidR="00152E97" w:rsidRPr="000E1F7A" w:rsidRDefault="00152E97" w:rsidP="00413996">
            <w:r>
              <w:t>04/03/2017</w:t>
            </w:r>
          </w:p>
        </w:tc>
        <w:tc>
          <w:tcPr>
            <w:tcW w:w="2282" w:type="dxa"/>
          </w:tcPr>
          <w:p w:rsidR="00152E97" w:rsidRDefault="00143775" w:rsidP="00413996">
            <w:hyperlink r:id="rId10" w:history="1">
              <w:r w:rsidR="00152E97" w:rsidRPr="00152E97">
                <w:rPr>
                  <w:rStyle w:val="Hyperlink"/>
                </w:rPr>
                <w:t>SAR Filing</w:t>
              </w:r>
            </w:hyperlink>
          </w:p>
        </w:tc>
        <w:tc>
          <w:tcPr>
            <w:tcW w:w="1411" w:type="dxa"/>
          </w:tcPr>
          <w:p w:rsidR="00152E97" w:rsidRPr="000E1F7A" w:rsidRDefault="00143775" w:rsidP="00413996">
            <w:hyperlink r:id="rId11" w:history="1">
              <w:r w:rsidR="00152E97" w:rsidRPr="00152E97">
                <w:rPr>
                  <w:rStyle w:val="Hyperlink"/>
                </w:rPr>
                <w:t>82 FR 9109</w:t>
              </w:r>
            </w:hyperlink>
          </w:p>
        </w:tc>
        <w:tc>
          <w:tcPr>
            <w:tcW w:w="8205" w:type="dxa"/>
          </w:tcPr>
          <w:p w:rsidR="00152E97" w:rsidRDefault="00152E97" w:rsidP="00413996">
            <w:pPr>
              <w:pStyle w:val="NormalWeb"/>
              <w:spacing w:before="0" w:beforeAutospacing="0" w:after="0" w:afterAutospacing="0"/>
              <w:rPr>
                <w:rFonts w:asciiTheme="minorHAnsi" w:eastAsiaTheme="minorEastAsia" w:hAnsiTheme="minorHAnsi" w:cstheme="minorBidi"/>
                <w:sz w:val="22"/>
                <w:szCs w:val="22"/>
              </w:rPr>
            </w:pPr>
            <w:r w:rsidRPr="00152E97">
              <w:rPr>
                <w:rFonts w:asciiTheme="minorHAnsi" w:eastAsiaTheme="minorEastAsia" w:hAnsiTheme="minorHAnsi" w:cstheme="minorBidi"/>
                <w:sz w:val="22"/>
                <w:szCs w:val="22"/>
              </w:rPr>
              <w:t>FinCEN has published a notice of proposed changes to the SAR form.  The notice does not propose any new regulatory requirements or changes to the requirements related to suspicious activity reporting other than changes to the data fields provided in the SAR filings.  Most of the proposed changes would alter the “checklist” of violations in Part II, including the addition of several fields related to cyber events.</w:t>
            </w:r>
          </w:p>
        </w:tc>
      </w:tr>
      <w:tr w:rsidR="00113262" w:rsidRPr="00967605" w:rsidTr="00413996">
        <w:tc>
          <w:tcPr>
            <w:tcW w:w="1278" w:type="dxa"/>
          </w:tcPr>
          <w:p w:rsidR="00113262" w:rsidRDefault="00113262" w:rsidP="00413996">
            <w:r>
              <w:t>05/09/2017</w:t>
            </w:r>
          </w:p>
        </w:tc>
        <w:tc>
          <w:tcPr>
            <w:tcW w:w="2282" w:type="dxa"/>
          </w:tcPr>
          <w:p w:rsidR="00113262" w:rsidRDefault="00143775" w:rsidP="00413996">
            <w:hyperlink r:id="rId12" w:history="1">
              <w:r w:rsidR="00113262" w:rsidRPr="006A2918">
                <w:rPr>
                  <w:rStyle w:val="Hyperlink"/>
                </w:rPr>
                <w:t>Alternative Capital</w:t>
              </w:r>
              <w:r w:rsidR="006A2918" w:rsidRPr="006A2918">
                <w:rPr>
                  <w:rStyle w:val="Hyperlink"/>
                </w:rPr>
                <w:t xml:space="preserve"> ANPR</w:t>
              </w:r>
            </w:hyperlink>
          </w:p>
        </w:tc>
        <w:tc>
          <w:tcPr>
            <w:tcW w:w="1411" w:type="dxa"/>
          </w:tcPr>
          <w:p w:rsidR="00113262" w:rsidRDefault="00143775" w:rsidP="00413996">
            <w:hyperlink r:id="rId13" w:history="1">
              <w:r w:rsidR="006A2918" w:rsidRPr="006A2918">
                <w:rPr>
                  <w:rStyle w:val="Hyperlink"/>
                </w:rPr>
                <w:t>82 FR 9691</w:t>
              </w:r>
            </w:hyperlink>
          </w:p>
        </w:tc>
        <w:tc>
          <w:tcPr>
            <w:tcW w:w="8205" w:type="dxa"/>
          </w:tcPr>
          <w:p w:rsidR="00113262" w:rsidRPr="00152E97" w:rsidRDefault="006A2918" w:rsidP="00413996">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The NCUA is issuing the</w:t>
            </w:r>
            <w:r w:rsidRPr="006A2918">
              <w:rPr>
                <w:rFonts w:asciiTheme="minorHAnsi" w:eastAsiaTheme="minorEastAsia" w:hAnsiTheme="minorHAnsi" w:cstheme="minorBidi"/>
                <w:sz w:val="22"/>
                <w:szCs w:val="22"/>
              </w:rPr>
              <w:t xml:space="preserve"> advanced noti</w:t>
            </w:r>
            <w:r>
              <w:rPr>
                <w:rFonts w:asciiTheme="minorHAnsi" w:eastAsiaTheme="minorEastAsia" w:hAnsiTheme="minorHAnsi" w:cstheme="minorBidi"/>
                <w:sz w:val="22"/>
                <w:szCs w:val="22"/>
              </w:rPr>
              <w:t>ce of proposed rulemaking</w:t>
            </w:r>
            <w:r w:rsidRPr="006A2918">
              <w:rPr>
                <w:rFonts w:asciiTheme="minorHAnsi" w:eastAsiaTheme="minorEastAsia" w:hAnsiTheme="minorHAnsi" w:cstheme="minorBidi"/>
                <w:sz w:val="22"/>
                <w:szCs w:val="22"/>
              </w:rPr>
              <w:t xml:space="preserve"> to solicit comments on alternative forms of capital federally insured credit unions could use in meeting capital standards required by statute and regulation</w:t>
            </w:r>
          </w:p>
        </w:tc>
      </w:tr>
      <w:tr w:rsidR="00DD09C7" w:rsidRPr="00967605" w:rsidTr="00413996">
        <w:tc>
          <w:tcPr>
            <w:tcW w:w="1278" w:type="dxa"/>
          </w:tcPr>
          <w:p w:rsidR="00DD09C7" w:rsidRDefault="00DD09C7" w:rsidP="00413996"/>
        </w:tc>
        <w:tc>
          <w:tcPr>
            <w:tcW w:w="2282" w:type="dxa"/>
          </w:tcPr>
          <w:p w:rsidR="00DD09C7" w:rsidRDefault="00DD09C7" w:rsidP="00413996"/>
        </w:tc>
        <w:tc>
          <w:tcPr>
            <w:tcW w:w="1411" w:type="dxa"/>
          </w:tcPr>
          <w:p w:rsidR="00DD09C7" w:rsidRDefault="00DD09C7" w:rsidP="00413996"/>
        </w:tc>
        <w:tc>
          <w:tcPr>
            <w:tcW w:w="8205" w:type="dxa"/>
          </w:tcPr>
          <w:p w:rsidR="00DD09C7" w:rsidRDefault="00DD09C7" w:rsidP="00413996">
            <w:pPr>
              <w:pStyle w:val="NormalWeb"/>
              <w:spacing w:before="0" w:beforeAutospacing="0" w:after="0" w:afterAutospacing="0"/>
              <w:rPr>
                <w:rFonts w:asciiTheme="minorHAnsi" w:eastAsiaTheme="minorEastAsia" w:hAnsiTheme="minorHAnsi" w:cstheme="minorBidi"/>
                <w:sz w:val="22"/>
                <w:szCs w:val="22"/>
              </w:rPr>
            </w:pPr>
          </w:p>
        </w:tc>
      </w:tr>
    </w:tbl>
    <w:p w:rsidR="00D64643" w:rsidRDefault="00D64643" w:rsidP="000C6F62">
      <w:pPr>
        <w:spacing w:before="240" w:after="0"/>
      </w:pPr>
      <w:r>
        <w:t>With all the confusion around this rule I did not know whether to post it in the Final or Proposed stage summaries, so I am including it separately:</w:t>
      </w:r>
    </w:p>
    <w:p w:rsidR="00D64643" w:rsidRPr="00D64643" w:rsidRDefault="00D64643" w:rsidP="006D2DF4">
      <w:pPr>
        <w:spacing w:after="0"/>
      </w:pPr>
      <w:r>
        <w:t>The previously approved Fiduciary Rule, which had an effective date of April 10, 2017, is back in the comment stage until March 17, 2017, with the final rule</w:t>
      </w:r>
      <w:r w:rsidR="006D2DF4">
        <w:t xml:space="preserve"> now effective June 9, 2017.  The delay, and new comment stage, were a result of </w:t>
      </w:r>
      <w:r w:rsidR="009937AD">
        <w:t>President Trump’s Memorandum that directs the DOL to rescind or revise the rule if the review determines that it is inconsistent with the Administration’s priorities regarding consumer access to retirement information and financial advice.  The comment period on the Memorandum runs through April 17, 2017.</w:t>
      </w:r>
    </w:p>
    <w:p w:rsidR="000C6F62" w:rsidRDefault="000C6F62" w:rsidP="000C6F62">
      <w:pPr>
        <w:spacing w:before="240" w:after="0"/>
        <w:rPr>
          <w:b/>
          <w:sz w:val="28"/>
          <w:szCs w:val="28"/>
        </w:rPr>
      </w:pPr>
      <w:r>
        <w:rPr>
          <w:b/>
          <w:sz w:val="28"/>
          <w:szCs w:val="28"/>
        </w:rPr>
        <w:t>RESOURCES</w:t>
      </w:r>
      <w:r w:rsidR="008756E8">
        <w:rPr>
          <w:b/>
          <w:sz w:val="28"/>
          <w:szCs w:val="28"/>
        </w:rPr>
        <w:t>/GUIDANCE</w:t>
      </w:r>
    </w:p>
    <w:tbl>
      <w:tblPr>
        <w:tblStyle w:val="TableGrid"/>
        <w:tblW w:w="13158" w:type="dxa"/>
        <w:tblLook w:val="04A0" w:firstRow="1" w:lastRow="0" w:firstColumn="1" w:lastColumn="0" w:noHBand="0" w:noVBand="1"/>
      </w:tblPr>
      <w:tblGrid>
        <w:gridCol w:w="2283"/>
        <w:gridCol w:w="10875"/>
      </w:tblGrid>
      <w:tr w:rsidR="000C6F62" w:rsidTr="000C6F62">
        <w:tc>
          <w:tcPr>
            <w:tcW w:w="2283" w:type="dxa"/>
            <w:tcBorders>
              <w:top w:val="nil"/>
              <w:left w:val="nil"/>
              <w:right w:val="nil"/>
            </w:tcBorders>
          </w:tcPr>
          <w:p w:rsidR="000C6F62" w:rsidRDefault="000C6F62" w:rsidP="00413996">
            <w:pPr>
              <w:rPr>
                <w:b/>
              </w:rPr>
            </w:pPr>
            <w:r>
              <w:rPr>
                <w:b/>
              </w:rPr>
              <w:t>Guidance</w:t>
            </w:r>
          </w:p>
        </w:tc>
        <w:tc>
          <w:tcPr>
            <w:tcW w:w="10875" w:type="dxa"/>
            <w:tcBorders>
              <w:top w:val="nil"/>
              <w:left w:val="nil"/>
              <w:right w:val="nil"/>
            </w:tcBorders>
          </w:tcPr>
          <w:p w:rsidR="000C6F62" w:rsidRDefault="000C6F62" w:rsidP="00413996">
            <w:pPr>
              <w:rPr>
                <w:b/>
              </w:rPr>
            </w:pPr>
            <w:r>
              <w:rPr>
                <w:b/>
              </w:rPr>
              <w:t>Summary</w:t>
            </w:r>
          </w:p>
        </w:tc>
      </w:tr>
      <w:tr w:rsidR="009C5026" w:rsidRPr="00967605" w:rsidTr="000C6F62">
        <w:tc>
          <w:tcPr>
            <w:tcW w:w="2283" w:type="dxa"/>
          </w:tcPr>
          <w:p w:rsidR="009C5026" w:rsidRDefault="00143775" w:rsidP="00413996">
            <w:hyperlink r:id="rId14" w:history="1">
              <w:r w:rsidR="009C5026" w:rsidRPr="009C5026">
                <w:rPr>
                  <w:rStyle w:val="Hyperlink"/>
                </w:rPr>
                <w:t>Top Frauds of 2016</w:t>
              </w:r>
            </w:hyperlink>
          </w:p>
        </w:tc>
        <w:tc>
          <w:tcPr>
            <w:tcW w:w="10875" w:type="dxa"/>
          </w:tcPr>
          <w:p w:rsidR="009C5026" w:rsidRDefault="009C5026" w:rsidP="006908CC">
            <w:pPr>
              <w:pStyle w:val="NormalWeb"/>
              <w:spacing w:after="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The FTC released its annual Consumer Sentinel Data Book, which discusses </w:t>
            </w:r>
            <w:r w:rsidR="008E711C">
              <w:rPr>
                <w:rFonts w:asciiTheme="minorHAnsi" w:hAnsiTheme="minorHAnsi" w:cs="Arial"/>
                <w:sz w:val="22"/>
                <w:szCs w:val="22"/>
                <w:shd w:val="clear" w:color="auto" w:fill="FFFFFF"/>
              </w:rPr>
              <w:t xml:space="preserve">fraud complaints that they receive.  I found it interesting that the majority of fraud payments are still being done by wire transfers, and the number one method of contact for fraud is the telephone.  </w:t>
            </w:r>
          </w:p>
        </w:tc>
      </w:tr>
      <w:tr w:rsidR="006B3DE0" w:rsidRPr="00967605" w:rsidTr="000C6F62">
        <w:tc>
          <w:tcPr>
            <w:tcW w:w="2283" w:type="dxa"/>
          </w:tcPr>
          <w:p w:rsidR="006B3DE0" w:rsidRDefault="00143775" w:rsidP="00413996">
            <w:hyperlink r:id="rId15" w:history="1">
              <w:r w:rsidR="006B3DE0" w:rsidRPr="006B3DE0">
                <w:rPr>
                  <w:rStyle w:val="Hyperlink"/>
                </w:rPr>
                <w:t xml:space="preserve">Using Email Authentication to </w:t>
              </w:r>
              <w:r w:rsidR="006B3DE0">
                <w:rPr>
                  <w:rStyle w:val="Hyperlink"/>
                </w:rPr>
                <w:t>D</w:t>
              </w:r>
              <w:r w:rsidR="006B3DE0" w:rsidRPr="006B3DE0">
                <w:rPr>
                  <w:rStyle w:val="Hyperlink"/>
                </w:rPr>
                <w:t xml:space="preserve">eter </w:t>
              </w:r>
              <w:r w:rsidR="006B3DE0">
                <w:rPr>
                  <w:rStyle w:val="Hyperlink"/>
                </w:rPr>
                <w:t>P</w:t>
              </w:r>
              <w:r w:rsidR="006B3DE0" w:rsidRPr="006B3DE0">
                <w:rPr>
                  <w:rStyle w:val="Hyperlink"/>
                </w:rPr>
                <w:t>hishing</w:t>
              </w:r>
            </w:hyperlink>
          </w:p>
        </w:tc>
        <w:tc>
          <w:tcPr>
            <w:tcW w:w="10875" w:type="dxa"/>
          </w:tcPr>
          <w:p w:rsidR="006B3DE0" w:rsidRPr="00A13CB2" w:rsidRDefault="006B3DE0" w:rsidP="006908CC">
            <w:pPr>
              <w:pStyle w:val="NormalWeb"/>
              <w:spacing w:after="0"/>
              <w:rPr>
                <w:rFonts w:asciiTheme="minorHAnsi" w:hAnsiTheme="minorHAnsi" w:cs="Arial"/>
                <w:sz w:val="22"/>
                <w:szCs w:val="22"/>
                <w:shd w:val="clear" w:color="auto" w:fill="FFFFFF"/>
              </w:rPr>
            </w:pPr>
            <w:r>
              <w:rPr>
                <w:rFonts w:asciiTheme="minorHAnsi" w:hAnsiTheme="minorHAnsi" w:cs="Arial"/>
                <w:sz w:val="22"/>
                <w:szCs w:val="22"/>
                <w:shd w:val="clear" w:color="auto" w:fill="FFFFFF"/>
              </w:rPr>
              <w:t>The FTC put out a Staff Perspective on methods businesses can use to deter email phis</w:t>
            </w:r>
            <w:r w:rsidR="009C5026">
              <w:rPr>
                <w:rFonts w:asciiTheme="minorHAnsi" w:hAnsiTheme="minorHAnsi" w:cs="Arial"/>
                <w:sz w:val="22"/>
                <w:szCs w:val="22"/>
                <w:shd w:val="clear" w:color="auto" w:fill="FFFFFF"/>
              </w:rPr>
              <w:t>h</w:t>
            </w:r>
            <w:r>
              <w:rPr>
                <w:rFonts w:asciiTheme="minorHAnsi" w:hAnsiTheme="minorHAnsi" w:cs="Arial"/>
                <w:sz w:val="22"/>
                <w:szCs w:val="22"/>
                <w:shd w:val="clear" w:color="auto" w:fill="FFFFFF"/>
              </w:rPr>
              <w:t>ing</w:t>
            </w:r>
            <w:r w:rsidR="009C5026">
              <w:rPr>
                <w:rFonts w:asciiTheme="minorHAnsi" w:hAnsiTheme="minorHAnsi" w:cs="Arial"/>
                <w:sz w:val="22"/>
                <w:szCs w:val="22"/>
                <w:shd w:val="clear" w:color="auto" w:fill="FFFFFF"/>
              </w:rPr>
              <w:t xml:space="preserve"> scams.  The Perspective discusses using Sender Policy Framework (SPF), DomainKeys Identified Mail (DKIM), and Domain Message Authentication Reporting &amp; Conformance (DMARC).  </w:t>
            </w:r>
          </w:p>
        </w:tc>
      </w:tr>
      <w:bookmarkStart w:id="0" w:name="_Hlk476129212"/>
      <w:tr w:rsidR="001F2A05" w:rsidRPr="00967605" w:rsidTr="000C6F62">
        <w:tc>
          <w:tcPr>
            <w:tcW w:w="2283" w:type="dxa"/>
          </w:tcPr>
          <w:p w:rsidR="001F2A05" w:rsidRDefault="00A13CB2" w:rsidP="00413996">
            <w:r>
              <w:fldChar w:fldCharType="begin"/>
            </w:r>
            <w:r>
              <w:instrText xml:space="preserve"> HYPERLINK "https://nwcompliance.org/ada-website-accessibility-tools/" </w:instrText>
            </w:r>
            <w:r>
              <w:fldChar w:fldCharType="separate"/>
            </w:r>
            <w:r w:rsidRPr="00A13CB2">
              <w:rPr>
                <w:rStyle w:val="Hyperlink"/>
              </w:rPr>
              <w:t>ADA Website Accessibility Tools</w:t>
            </w:r>
            <w:bookmarkEnd w:id="0"/>
            <w:r>
              <w:fldChar w:fldCharType="end"/>
            </w:r>
          </w:p>
        </w:tc>
        <w:tc>
          <w:tcPr>
            <w:tcW w:w="10875" w:type="dxa"/>
          </w:tcPr>
          <w:p w:rsidR="001F2A05" w:rsidRDefault="00A13CB2" w:rsidP="006908CC">
            <w:pPr>
              <w:pStyle w:val="NormalWeb"/>
              <w:spacing w:after="0"/>
              <w:rPr>
                <w:rFonts w:asciiTheme="minorHAnsi" w:hAnsiTheme="minorHAnsi" w:cs="Arial"/>
                <w:sz w:val="22"/>
                <w:szCs w:val="22"/>
                <w:shd w:val="clear" w:color="auto" w:fill="FFFFFF"/>
              </w:rPr>
            </w:pPr>
            <w:r w:rsidRPr="00A13CB2">
              <w:rPr>
                <w:rFonts w:asciiTheme="minorHAnsi" w:hAnsiTheme="minorHAnsi" w:cs="Arial"/>
                <w:sz w:val="22"/>
                <w:szCs w:val="22"/>
                <w:shd w:val="clear" w:color="auto" w:fill="FFFFFF"/>
              </w:rPr>
              <w:t>The Department of Justice recently published an “ADA Best Practices Tool Kit,” which includes website accessibility guidance and a checklist that can be used to verify compliance with the Americans with Disabilities Act.</w:t>
            </w:r>
            <w:r>
              <w:rPr>
                <w:rFonts w:asciiTheme="minorHAnsi" w:hAnsiTheme="minorHAnsi" w:cs="Arial"/>
                <w:sz w:val="22"/>
                <w:szCs w:val="22"/>
                <w:shd w:val="clear" w:color="auto" w:fill="FFFFFF"/>
              </w:rPr>
              <w:t xml:space="preserve">  </w:t>
            </w:r>
            <w:r w:rsidRPr="00A13CB2">
              <w:rPr>
                <w:rFonts w:asciiTheme="minorHAnsi" w:hAnsiTheme="minorHAnsi" w:cs="Arial"/>
                <w:sz w:val="22"/>
                <w:szCs w:val="22"/>
                <w:shd w:val="clear" w:color="auto" w:fill="FFFFFF"/>
              </w:rPr>
              <w:t>The guidance identifies common website accessibility problems and proposes solutions and other considerations that are useful in developing ADA compliant websites. It also includes a detailed action plan for making existing web content accessible. The checklist is intended to guide preliminary assessments of website accessibility, and policies and procedures for maintaining website accessibility.</w:t>
            </w:r>
          </w:p>
        </w:tc>
      </w:tr>
      <w:tr w:rsidR="00F067FC" w:rsidRPr="00967605" w:rsidTr="000C6F62">
        <w:tc>
          <w:tcPr>
            <w:tcW w:w="2283" w:type="dxa"/>
          </w:tcPr>
          <w:p w:rsidR="00F067FC" w:rsidRDefault="00143775" w:rsidP="00413996">
            <w:hyperlink r:id="rId16" w:history="1">
              <w:r w:rsidR="00A13CB2" w:rsidRPr="00A13CB2">
                <w:rPr>
                  <w:rStyle w:val="Hyperlink"/>
                </w:rPr>
                <w:t>DCU Consumer Protection Compliance Exam Focus</w:t>
              </w:r>
            </w:hyperlink>
          </w:p>
        </w:tc>
        <w:tc>
          <w:tcPr>
            <w:tcW w:w="10875" w:type="dxa"/>
          </w:tcPr>
          <w:p w:rsidR="00F067FC" w:rsidRDefault="00D12C32" w:rsidP="006908CC">
            <w:pPr>
              <w:pStyle w:val="NormalWeb"/>
              <w:spacing w:after="0"/>
              <w:rPr>
                <w:rFonts w:asciiTheme="minorHAnsi" w:hAnsiTheme="minorHAnsi" w:cs="Arial"/>
                <w:sz w:val="22"/>
                <w:szCs w:val="22"/>
                <w:shd w:val="clear" w:color="auto" w:fill="FFFFFF"/>
              </w:rPr>
            </w:pPr>
            <w:r>
              <w:rPr>
                <w:rFonts w:asciiTheme="minorHAnsi" w:hAnsiTheme="minorHAnsi" w:cs="Arial"/>
                <w:sz w:val="22"/>
                <w:szCs w:val="22"/>
                <w:shd w:val="clear" w:color="auto" w:fill="FFFFFF"/>
              </w:rPr>
              <w:t>The DCU released its enhanced compliance exam focus for the next three years.  The focus includes:  Compliance Management Systems, UDAAP, and other areas of consumer protection – ECOA, HMDA, RESPA, TILA, and SCRA.</w:t>
            </w:r>
          </w:p>
        </w:tc>
      </w:tr>
      <w:tr w:rsidR="00033069" w:rsidRPr="00967605" w:rsidTr="000C6F62">
        <w:tc>
          <w:tcPr>
            <w:tcW w:w="2283" w:type="dxa"/>
          </w:tcPr>
          <w:p w:rsidR="00033069" w:rsidRDefault="00143775" w:rsidP="00413996">
            <w:hyperlink r:id="rId17" w:history="1">
              <w:r w:rsidR="00D12C32" w:rsidRPr="00D12C32">
                <w:rPr>
                  <w:rStyle w:val="Hyperlink"/>
                </w:rPr>
                <w:t>Alternative Data – Request for Information</w:t>
              </w:r>
            </w:hyperlink>
          </w:p>
        </w:tc>
        <w:tc>
          <w:tcPr>
            <w:tcW w:w="10875" w:type="dxa"/>
          </w:tcPr>
          <w:p w:rsidR="00033069" w:rsidRDefault="00D12C32" w:rsidP="00215590">
            <w:pPr>
              <w:pStyle w:val="NormalWeb"/>
              <w:shd w:val="clear" w:color="auto" w:fill="FFFFFF"/>
              <w:spacing w:before="0" w:beforeAutospacing="0" w:after="0" w:afterAutospacing="0"/>
              <w:textAlignment w:val="baseline"/>
              <w:rPr>
                <w:rFonts w:asciiTheme="minorHAnsi" w:hAnsiTheme="minorHAnsi" w:cs="Arial"/>
                <w:sz w:val="22"/>
                <w:szCs w:val="22"/>
                <w:shd w:val="clear" w:color="auto" w:fill="FFFFFF"/>
              </w:rPr>
            </w:pPr>
            <w:r w:rsidRPr="00D12C32">
              <w:rPr>
                <w:rFonts w:asciiTheme="minorHAnsi" w:hAnsiTheme="minorHAnsi" w:cs="Arial"/>
                <w:sz w:val="22"/>
                <w:szCs w:val="22"/>
                <w:shd w:val="clear" w:color="auto" w:fill="FFFFFF"/>
              </w:rPr>
              <w:t>The CFPB released a Request for Information into ways to expand access to credit for consumers who are credit invisible or who lack enough credit history to obtain a credit score. The Bureau is seeking public feedback on the benefits and risks of tapping alternative data sources such as bills for mobile phones and rent payments to make lending decisions about consumers whose lack of credit history might otherwise block opportunities.</w:t>
            </w:r>
          </w:p>
        </w:tc>
      </w:tr>
      <w:tr w:rsidR="00863C31" w:rsidRPr="00967605" w:rsidTr="000C6F62">
        <w:tc>
          <w:tcPr>
            <w:tcW w:w="2283" w:type="dxa"/>
          </w:tcPr>
          <w:p w:rsidR="00863C31" w:rsidRDefault="00143775" w:rsidP="00413996">
            <w:hyperlink r:id="rId18" w:history="1">
              <w:r w:rsidR="00D12C32" w:rsidRPr="00D12C32">
                <w:rPr>
                  <w:rStyle w:val="Hyperlink"/>
                </w:rPr>
                <w:t>MLA Website Error</w:t>
              </w:r>
            </w:hyperlink>
          </w:p>
        </w:tc>
        <w:tc>
          <w:tcPr>
            <w:tcW w:w="10875" w:type="dxa"/>
          </w:tcPr>
          <w:p w:rsidR="00863C31" w:rsidRPr="00AD5AFA" w:rsidRDefault="00D12C32" w:rsidP="00033069">
            <w:pPr>
              <w:pStyle w:val="Heading2"/>
              <w:shd w:val="clear" w:color="auto" w:fill="FFFFFF"/>
              <w:spacing w:before="0" w:line="240" w:lineRule="atLeast"/>
              <w:textAlignment w:val="baseline"/>
              <w:outlineLvl w:val="1"/>
              <w:rPr>
                <w:rFonts w:asciiTheme="minorHAnsi" w:hAnsiTheme="minorHAnsi" w:cstheme="minorHAnsi"/>
                <w:color w:val="262626"/>
                <w:sz w:val="22"/>
                <w:szCs w:val="22"/>
              </w:rPr>
            </w:pPr>
            <w:r>
              <w:rPr>
                <w:rFonts w:asciiTheme="minorHAnsi" w:hAnsiTheme="minorHAnsi" w:cstheme="minorHAnsi"/>
                <w:color w:val="262626"/>
                <w:sz w:val="22"/>
                <w:szCs w:val="22"/>
              </w:rPr>
              <w:t xml:space="preserve">Between 2/09/17 and 2/15/17, there was a problem with the MLA Multiple Record Requests.  Credit unions that ran multiple record requests during this time are recommended to re-run the files.  </w:t>
            </w:r>
          </w:p>
        </w:tc>
      </w:tr>
      <w:tr w:rsidR="00E84648" w:rsidRPr="00967605" w:rsidTr="000C6F62">
        <w:tc>
          <w:tcPr>
            <w:tcW w:w="2283" w:type="dxa"/>
          </w:tcPr>
          <w:p w:rsidR="00E84648" w:rsidRDefault="00143775" w:rsidP="00413996">
            <w:hyperlink r:id="rId19" w:history="1">
              <w:r w:rsidR="00152E97" w:rsidRPr="00152E97">
                <w:rPr>
                  <w:rStyle w:val="Hyperlink"/>
                </w:rPr>
                <w:t>Consumer Review Fairness Act</w:t>
              </w:r>
            </w:hyperlink>
          </w:p>
        </w:tc>
        <w:tc>
          <w:tcPr>
            <w:tcW w:w="10875" w:type="dxa"/>
          </w:tcPr>
          <w:p w:rsidR="00E84648" w:rsidRDefault="00152E97" w:rsidP="006908CC">
            <w:pPr>
              <w:pStyle w:val="NormalWeb"/>
              <w:spacing w:after="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The FTC issued the ‘Consumer Review Fairness Act:  What Business Need to Know’ which describes the protections given to consumers when sharing their honest opinions of the company.  </w:t>
            </w:r>
          </w:p>
        </w:tc>
      </w:tr>
      <w:tr w:rsidR="00152E97" w:rsidRPr="00967605" w:rsidTr="000C6F62">
        <w:tc>
          <w:tcPr>
            <w:tcW w:w="2283" w:type="dxa"/>
          </w:tcPr>
          <w:p w:rsidR="00152E97" w:rsidRDefault="00143775" w:rsidP="00413996">
            <w:hyperlink r:id="rId20" w:history="1">
              <w:r w:rsidR="00152E97" w:rsidRPr="00152E97">
                <w:rPr>
                  <w:rStyle w:val="Hyperlink"/>
                </w:rPr>
                <w:t>Compressed Version of SDN List</w:t>
              </w:r>
            </w:hyperlink>
          </w:p>
        </w:tc>
        <w:tc>
          <w:tcPr>
            <w:tcW w:w="10875" w:type="dxa"/>
          </w:tcPr>
          <w:p w:rsidR="00152E97" w:rsidRDefault="00152E97" w:rsidP="006908CC">
            <w:pPr>
              <w:pStyle w:val="NormalWeb"/>
              <w:spacing w:after="0"/>
              <w:rPr>
                <w:rFonts w:asciiTheme="minorHAnsi" w:hAnsiTheme="minorHAnsi" w:cs="Arial"/>
                <w:sz w:val="22"/>
                <w:szCs w:val="22"/>
                <w:shd w:val="clear" w:color="auto" w:fill="FFFFFF"/>
              </w:rPr>
            </w:pPr>
            <w:r w:rsidRPr="00152E97">
              <w:rPr>
                <w:rFonts w:asciiTheme="minorHAnsi" w:hAnsiTheme="minorHAnsi" w:cs="Arial"/>
                <w:sz w:val="22"/>
                <w:szCs w:val="22"/>
                <w:shd w:val="clear" w:color="auto" w:fill="FFFFFF"/>
              </w:rPr>
              <w:t>OFAC is now offering a compressed version of its SDN.XML file in order to provide bandwidth savings for users that frequently download this file.  This new file compresses the SDN.XML file by approximately 92%.</w:t>
            </w:r>
          </w:p>
        </w:tc>
      </w:tr>
      <w:tr w:rsidR="00152E97" w:rsidRPr="00967605" w:rsidTr="000C6F62">
        <w:tc>
          <w:tcPr>
            <w:tcW w:w="2283" w:type="dxa"/>
          </w:tcPr>
          <w:p w:rsidR="00152E97" w:rsidRDefault="00143775" w:rsidP="00413996">
            <w:hyperlink r:id="rId21" w:history="1">
              <w:r w:rsidR="00113262" w:rsidRPr="00113262">
                <w:rPr>
                  <w:rStyle w:val="Hyperlink"/>
                </w:rPr>
                <w:t>FDIC’s Money Smart Alliance Program</w:t>
              </w:r>
            </w:hyperlink>
          </w:p>
        </w:tc>
        <w:tc>
          <w:tcPr>
            <w:tcW w:w="10875" w:type="dxa"/>
          </w:tcPr>
          <w:p w:rsidR="00152E97" w:rsidRDefault="00113262" w:rsidP="006908CC">
            <w:pPr>
              <w:pStyle w:val="NormalWeb"/>
              <w:spacing w:after="0"/>
              <w:rPr>
                <w:rFonts w:asciiTheme="minorHAnsi" w:hAnsiTheme="minorHAnsi" w:cs="Arial"/>
                <w:sz w:val="22"/>
                <w:szCs w:val="22"/>
                <w:shd w:val="clear" w:color="auto" w:fill="FFFFFF"/>
              </w:rPr>
            </w:pPr>
            <w:r w:rsidRPr="00113262">
              <w:rPr>
                <w:rFonts w:asciiTheme="minorHAnsi" w:hAnsiTheme="minorHAnsi" w:cs="Arial"/>
                <w:sz w:val="22"/>
                <w:szCs w:val="22"/>
                <w:shd w:val="clear" w:color="auto" w:fill="FFFFFF"/>
              </w:rPr>
              <w:t>The FDIC provides a Money Smart Alliance program, which is a network for financial institutions, nonprofits, and governmental organizations that can use the FDIC’s financial education curriculum to provide training to consumers, small businesses and others.</w:t>
            </w:r>
          </w:p>
        </w:tc>
      </w:tr>
      <w:tr w:rsidR="00152E97" w:rsidRPr="00967605" w:rsidTr="000C6F62">
        <w:tc>
          <w:tcPr>
            <w:tcW w:w="2283" w:type="dxa"/>
          </w:tcPr>
          <w:p w:rsidR="00152E97" w:rsidRDefault="00143775" w:rsidP="00413996">
            <w:hyperlink r:id="rId22" w:history="1">
              <w:r w:rsidR="000C57E2" w:rsidRPr="000C57E2">
                <w:rPr>
                  <w:rStyle w:val="Hyperlink"/>
                </w:rPr>
                <w:t>Contaminated Currency</w:t>
              </w:r>
            </w:hyperlink>
          </w:p>
        </w:tc>
        <w:tc>
          <w:tcPr>
            <w:tcW w:w="10875" w:type="dxa"/>
          </w:tcPr>
          <w:p w:rsidR="00152E97" w:rsidRDefault="000C57E2" w:rsidP="000C57E2">
            <w:pPr>
              <w:pStyle w:val="NormalWeb"/>
              <w:spacing w:after="0"/>
              <w:rPr>
                <w:rFonts w:asciiTheme="minorHAnsi" w:hAnsiTheme="minorHAnsi" w:cs="Arial"/>
                <w:sz w:val="22"/>
                <w:szCs w:val="22"/>
                <w:shd w:val="clear" w:color="auto" w:fill="FFFFFF"/>
              </w:rPr>
            </w:pPr>
            <w:r>
              <w:rPr>
                <w:rFonts w:asciiTheme="minorHAnsi" w:hAnsiTheme="minorHAnsi" w:cs="Arial"/>
                <w:sz w:val="22"/>
                <w:szCs w:val="22"/>
                <w:shd w:val="clear" w:color="auto" w:fill="FFFFFF"/>
              </w:rPr>
              <w:t>T</w:t>
            </w:r>
            <w:r w:rsidRPr="000C57E2">
              <w:rPr>
                <w:rFonts w:asciiTheme="minorHAnsi" w:hAnsiTheme="minorHAnsi" w:cs="Arial"/>
                <w:sz w:val="22"/>
                <w:szCs w:val="22"/>
                <w:shd w:val="clear" w:color="auto" w:fill="FFFFFF"/>
              </w:rPr>
              <w:t>he Federal Reserve updated its procedures for submitting deposits of contaminated currency. Effective immediately, FedCash customers and contracted agencies that prepare their deposits for shipment to the Federal Reserve must adhere to the revised procedures and use the updated form to notify the Fed before delivering contaminated currency.</w:t>
            </w:r>
          </w:p>
        </w:tc>
      </w:tr>
    </w:tbl>
    <w:p w:rsidR="006A2918" w:rsidRDefault="006A2918" w:rsidP="00D1188B"/>
    <w:tbl>
      <w:tblPr>
        <w:tblStyle w:val="TableGrid"/>
        <w:tblW w:w="13078" w:type="dxa"/>
        <w:tblLook w:val="04A0" w:firstRow="1" w:lastRow="0" w:firstColumn="1" w:lastColumn="0" w:noHBand="0" w:noVBand="1"/>
      </w:tblPr>
      <w:tblGrid>
        <w:gridCol w:w="2172"/>
        <w:gridCol w:w="6545"/>
        <w:gridCol w:w="4361"/>
      </w:tblGrid>
      <w:tr w:rsidR="00F517EF" w:rsidTr="00F517EF">
        <w:trPr>
          <w:trHeight w:val="236"/>
        </w:trPr>
        <w:tc>
          <w:tcPr>
            <w:tcW w:w="13078" w:type="dxa"/>
            <w:gridSpan w:val="3"/>
            <w:shd w:val="clear" w:color="auto" w:fill="4F81BD" w:themeFill="accent1"/>
          </w:tcPr>
          <w:p w:rsidR="00F517EF" w:rsidRDefault="00F517EF" w:rsidP="006A2918">
            <w:pPr>
              <w:keepLines/>
              <w:jc w:val="center"/>
            </w:pPr>
            <w:r w:rsidRPr="003F6BB7">
              <w:rPr>
                <w:color w:val="FFFFFF" w:themeColor="background1"/>
              </w:rPr>
              <w:lastRenderedPageBreak/>
              <w:t>Oregon</w:t>
            </w:r>
          </w:p>
        </w:tc>
      </w:tr>
      <w:tr w:rsidR="006A2918" w:rsidTr="006A2918">
        <w:trPr>
          <w:trHeight w:val="944"/>
        </w:trPr>
        <w:tc>
          <w:tcPr>
            <w:tcW w:w="2172" w:type="dxa"/>
          </w:tcPr>
          <w:p w:rsidR="006A2918" w:rsidRDefault="00143775" w:rsidP="006A2918">
            <w:pPr>
              <w:keepLines/>
            </w:pPr>
            <w:hyperlink r:id="rId23" w:history="1">
              <w:r w:rsidR="006A2918" w:rsidRPr="006A2918">
                <w:rPr>
                  <w:rStyle w:val="Hyperlink"/>
                </w:rPr>
                <w:t>HB 2161</w:t>
              </w:r>
            </w:hyperlink>
          </w:p>
        </w:tc>
        <w:tc>
          <w:tcPr>
            <w:tcW w:w="6545" w:type="dxa"/>
          </w:tcPr>
          <w:p w:rsidR="006A2918" w:rsidRPr="000014AF" w:rsidRDefault="006A2918" w:rsidP="006A2918">
            <w:pPr>
              <w:keepLines/>
            </w:pPr>
            <w:r w:rsidRPr="006A2918">
              <w:t>Included in the Bill are a provision allowing the expulsion of a member that creates undue risk of loss, the elimination of the requirement that the credit union’s board of directors meets 10 times a year, and changes the date for exercise by state credit unions of powers available to federal credit unions without director approval to January 1, 2017, from January 1, 2013.</w:t>
            </w:r>
          </w:p>
        </w:tc>
        <w:tc>
          <w:tcPr>
            <w:tcW w:w="4361" w:type="dxa"/>
          </w:tcPr>
          <w:p w:rsidR="006A2918" w:rsidRDefault="006A2918" w:rsidP="006A2918">
            <w:pPr>
              <w:keepLines/>
            </w:pPr>
            <w:r>
              <w:t>Referred to Speaker’s desk</w:t>
            </w:r>
          </w:p>
        </w:tc>
      </w:tr>
      <w:tr w:rsidR="00F517EF" w:rsidTr="006A2918">
        <w:trPr>
          <w:trHeight w:val="944"/>
        </w:trPr>
        <w:tc>
          <w:tcPr>
            <w:tcW w:w="2172" w:type="dxa"/>
          </w:tcPr>
          <w:p w:rsidR="00F517EF" w:rsidRDefault="00143775" w:rsidP="006A2918">
            <w:pPr>
              <w:keepLines/>
            </w:pPr>
            <w:hyperlink r:id="rId24" w:history="1">
              <w:r w:rsidR="00F517EF" w:rsidRPr="000014AF">
                <w:rPr>
                  <w:rStyle w:val="Hyperlink"/>
                </w:rPr>
                <w:t>HB 2359</w:t>
              </w:r>
            </w:hyperlink>
          </w:p>
        </w:tc>
        <w:tc>
          <w:tcPr>
            <w:tcW w:w="6545" w:type="dxa"/>
          </w:tcPr>
          <w:p w:rsidR="00F517EF" w:rsidRDefault="00F517EF" w:rsidP="006A2918">
            <w:pPr>
              <w:keepLines/>
            </w:pPr>
            <w:r w:rsidRPr="000014AF">
              <w:t>Removes requirement for beneficiary in trust deed to send, and Attorney General to receive, copy of notice that beneficiary has denied grantor's eligibility for foreclosure avoidance measure.</w:t>
            </w:r>
          </w:p>
        </w:tc>
        <w:tc>
          <w:tcPr>
            <w:tcW w:w="4361" w:type="dxa"/>
          </w:tcPr>
          <w:p w:rsidR="00F517EF" w:rsidRDefault="00A371E4" w:rsidP="006A2918">
            <w:pPr>
              <w:keepLines/>
            </w:pPr>
            <w:r>
              <w:t>Third</w:t>
            </w:r>
            <w:r w:rsidR="00F517EF">
              <w:t xml:space="preserve"> reading</w:t>
            </w:r>
          </w:p>
        </w:tc>
      </w:tr>
      <w:tr w:rsidR="00F517EF" w:rsidTr="006A2918">
        <w:trPr>
          <w:trHeight w:val="236"/>
        </w:trPr>
        <w:tc>
          <w:tcPr>
            <w:tcW w:w="2172" w:type="dxa"/>
          </w:tcPr>
          <w:p w:rsidR="00F517EF" w:rsidRDefault="00143775" w:rsidP="006A2918">
            <w:pPr>
              <w:keepLines/>
            </w:pPr>
            <w:hyperlink r:id="rId25" w:history="1">
              <w:r w:rsidR="00F517EF" w:rsidRPr="000014AF">
                <w:rPr>
                  <w:rStyle w:val="Hyperlink"/>
                </w:rPr>
                <w:t>HB 2624</w:t>
              </w:r>
            </w:hyperlink>
          </w:p>
        </w:tc>
        <w:tc>
          <w:tcPr>
            <w:tcW w:w="6545" w:type="dxa"/>
          </w:tcPr>
          <w:p w:rsidR="00F517EF" w:rsidRDefault="00F517EF" w:rsidP="006A2918">
            <w:pPr>
              <w:keepLines/>
            </w:pPr>
            <w:r w:rsidRPr="000014AF">
              <w:t>Exempts out-of-state banks, extranational institutions and foreign associations from requirement to file notice before dealing in notes secured by mortgages or trust deeds, if authorized to conduct banking business in this state by certificate of Department of Consumer and Business Services.</w:t>
            </w:r>
          </w:p>
        </w:tc>
        <w:tc>
          <w:tcPr>
            <w:tcW w:w="4361" w:type="dxa"/>
          </w:tcPr>
          <w:p w:rsidR="00F517EF" w:rsidRDefault="00F517EF" w:rsidP="006A2918">
            <w:pPr>
              <w:keepLines/>
            </w:pPr>
            <w:r>
              <w:t>Second reading</w:t>
            </w:r>
          </w:p>
        </w:tc>
      </w:tr>
      <w:tr w:rsidR="00F517EF" w:rsidTr="006A2918">
        <w:trPr>
          <w:trHeight w:val="242"/>
        </w:trPr>
        <w:tc>
          <w:tcPr>
            <w:tcW w:w="2172" w:type="dxa"/>
          </w:tcPr>
          <w:p w:rsidR="00F517EF" w:rsidRDefault="00143775" w:rsidP="006A2918">
            <w:pPr>
              <w:keepLines/>
            </w:pPr>
            <w:hyperlink r:id="rId26" w:history="1">
              <w:r w:rsidR="00F517EF" w:rsidRPr="000014AF">
                <w:rPr>
                  <w:rStyle w:val="Hyperlink"/>
                </w:rPr>
                <w:t>HB 2622</w:t>
              </w:r>
            </w:hyperlink>
          </w:p>
        </w:tc>
        <w:tc>
          <w:tcPr>
            <w:tcW w:w="6545" w:type="dxa"/>
          </w:tcPr>
          <w:p w:rsidR="00F517EF" w:rsidRDefault="00F517EF" w:rsidP="006A2918">
            <w:pPr>
              <w:keepLines/>
            </w:pPr>
            <w:r w:rsidRPr="000014AF">
              <w:t>Authorizes financial institution to refuse certain financial transactions when financial institution reasonably believes financial exploitation of vulnerable person may have occurred, may have been attempted or is being attempted.</w:t>
            </w:r>
          </w:p>
        </w:tc>
        <w:tc>
          <w:tcPr>
            <w:tcW w:w="4361" w:type="dxa"/>
          </w:tcPr>
          <w:p w:rsidR="00F517EF" w:rsidRDefault="00F517EF" w:rsidP="006A2918">
            <w:pPr>
              <w:keepLines/>
            </w:pPr>
            <w:r>
              <w:t>Work session scheduled</w:t>
            </w:r>
          </w:p>
        </w:tc>
      </w:tr>
      <w:tr w:rsidR="00F517EF" w:rsidTr="006A2918">
        <w:trPr>
          <w:trHeight w:val="236"/>
        </w:trPr>
        <w:tc>
          <w:tcPr>
            <w:tcW w:w="2172" w:type="dxa"/>
          </w:tcPr>
          <w:p w:rsidR="00F517EF" w:rsidRDefault="00143775" w:rsidP="006A2918">
            <w:pPr>
              <w:keepLines/>
            </w:pPr>
            <w:hyperlink r:id="rId27" w:history="1">
              <w:r w:rsidR="00F517EF" w:rsidRPr="000014AF">
                <w:rPr>
                  <w:rStyle w:val="Hyperlink"/>
                </w:rPr>
                <w:t>HB 2229</w:t>
              </w:r>
            </w:hyperlink>
          </w:p>
        </w:tc>
        <w:tc>
          <w:tcPr>
            <w:tcW w:w="6545" w:type="dxa"/>
          </w:tcPr>
          <w:p w:rsidR="00F517EF" w:rsidRDefault="00F517EF" w:rsidP="006A2918">
            <w:pPr>
              <w:keepLines/>
            </w:pPr>
            <w:r w:rsidRPr="000014AF">
              <w:t>Requires school districts to offer instruction in financial literacy.</w:t>
            </w:r>
          </w:p>
        </w:tc>
        <w:tc>
          <w:tcPr>
            <w:tcW w:w="4361" w:type="dxa"/>
          </w:tcPr>
          <w:p w:rsidR="00F517EF" w:rsidRDefault="00F517EF" w:rsidP="006A2918">
            <w:pPr>
              <w:keepLines/>
            </w:pPr>
            <w:r>
              <w:t>Work session scheduled</w:t>
            </w:r>
          </w:p>
        </w:tc>
      </w:tr>
      <w:tr w:rsidR="00F517EF" w:rsidTr="006A2918">
        <w:trPr>
          <w:trHeight w:val="236"/>
        </w:trPr>
        <w:tc>
          <w:tcPr>
            <w:tcW w:w="2172" w:type="dxa"/>
          </w:tcPr>
          <w:p w:rsidR="00F517EF" w:rsidRDefault="00143775" w:rsidP="006A2918">
            <w:pPr>
              <w:keepLines/>
            </w:pPr>
            <w:hyperlink r:id="rId28" w:history="1">
              <w:r w:rsidR="00F517EF" w:rsidRPr="00B90741">
                <w:rPr>
                  <w:rStyle w:val="Hyperlink"/>
                </w:rPr>
                <w:t>HB 2346</w:t>
              </w:r>
            </w:hyperlink>
          </w:p>
        </w:tc>
        <w:tc>
          <w:tcPr>
            <w:tcW w:w="6545" w:type="dxa"/>
          </w:tcPr>
          <w:p w:rsidR="00F517EF" w:rsidRDefault="00F517EF" w:rsidP="006A2918">
            <w:pPr>
              <w:keepLines/>
            </w:pPr>
            <w:r w:rsidRPr="00B90741">
              <w:t>Directs insured institution or credit union to accept declaration rather than affidavit from Department of Human Services or Oregon Health Authority to pay claim on death of depositor.</w:t>
            </w:r>
          </w:p>
        </w:tc>
        <w:tc>
          <w:tcPr>
            <w:tcW w:w="4361" w:type="dxa"/>
          </w:tcPr>
          <w:p w:rsidR="00F517EF" w:rsidRDefault="00F517EF" w:rsidP="006A2918">
            <w:pPr>
              <w:keepLines/>
            </w:pPr>
            <w:r>
              <w:t>Public hearing scheduled</w:t>
            </w:r>
          </w:p>
        </w:tc>
      </w:tr>
      <w:tr w:rsidR="00B975E7" w:rsidTr="006A2918">
        <w:trPr>
          <w:trHeight w:val="236"/>
        </w:trPr>
        <w:tc>
          <w:tcPr>
            <w:tcW w:w="2172" w:type="dxa"/>
          </w:tcPr>
          <w:p w:rsidR="00B975E7" w:rsidRDefault="00143775" w:rsidP="006A2918">
            <w:pPr>
              <w:keepLines/>
            </w:pPr>
            <w:hyperlink r:id="rId29" w:history="1">
              <w:r w:rsidR="00B975E7" w:rsidRPr="00B975E7">
                <w:rPr>
                  <w:rStyle w:val="Hyperlink"/>
                </w:rPr>
                <w:t>SB 113</w:t>
              </w:r>
            </w:hyperlink>
          </w:p>
        </w:tc>
        <w:tc>
          <w:tcPr>
            <w:tcW w:w="6545" w:type="dxa"/>
          </w:tcPr>
          <w:p w:rsidR="00B975E7" w:rsidRPr="00B975E7" w:rsidRDefault="00B975E7" w:rsidP="006A2918">
            <w:pPr>
              <w:keepLines/>
            </w:pPr>
            <w:r w:rsidRPr="00B975E7">
              <w:t>Provides that person identified in gift card as providing goods or services shall transfer to Department of State Lands remaining balance of gift card that cardholder has not used within five years after date of last transaction that used gift card for purchase.</w:t>
            </w:r>
          </w:p>
        </w:tc>
        <w:tc>
          <w:tcPr>
            <w:tcW w:w="4361" w:type="dxa"/>
          </w:tcPr>
          <w:p w:rsidR="00B975E7" w:rsidRDefault="00B975E7" w:rsidP="006A2918">
            <w:pPr>
              <w:keepLines/>
            </w:pPr>
            <w:r>
              <w:t>First reading</w:t>
            </w:r>
          </w:p>
        </w:tc>
      </w:tr>
      <w:tr w:rsidR="00B975E7" w:rsidTr="006A2918">
        <w:trPr>
          <w:trHeight w:val="236"/>
        </w:trPr>
        <w:tc>
          <w:tcPr>
            <w:tcW w:w="2172" w:type="dxa"/>
          </w:tcPr>
          <w:p w:rsidR="00B975E7" w:rsidRDefault="00143775" w:rsidP="006A2918">
            <w:pPr>
              <w:keepLines/>
            </w:pPr>
            <w:hyperlink r:id="rId30" w:history="1">
              <w:r w:rsidR="00B975E7" w:rsidRPr="00B975E7">
                <w:rPr>
                  <w:rStyle w:val="Hyperlink"/>
                </w:rPr>
                <w:t>SB 254</w:t>
              </w:r>
            </w:hyperlink>
          </w:p>
        </w:tc>
        <w:tc>
          <w:tcPr>
            <w:tcW w:w="6545" w:type="dxa"/>
          </w:tcPr>
          <w:p w:rsidR="00B975E7" w:rsidRPr="00B90741" w:rsidRDefault="00B975E7" w:rsidP="006A2918">
            <w:pPr>
              <w:keepLines/>
            </w:pPr>
            <w:r w:rsidRPr="00B975E7">
              <w:t>Requires financial institutions to participate in data match system established by Department of Revenue to identify assets held at financial institutions by delinquent debtors.</w:t>
            </w:r>
          </w:p>
        </w:tc>
        <w:tc>
          <w:tcPr>
            <w:tcW w:w="4361" w:type="dxa"/>
          </w:tcPr>
          <w:p w:rsidR="00B975E7" w:rsidRDefault="00B975E7" w:rsidP="006A2918">
            <w:pPr>
              <w:keepLines/>
            </w:pPr>
            <w:r>
              <w:t>First reading</w:t>
            </w:r>
          </w:p>
        </w:tc>
      </w:tr>
      <w:tr w:rsidR="00F517EF" w:rsidTr="00F517EF">
        <w:trPr>
          <w:trHeight w:val="236"/>
        </w:trPr>
        <w:tc>
          <w:tcPr>
            <w:tcW w:w="13078" w:type="dxa"/>
            <w:gridSpan w:val="3"/>
            <w:shd w:val="clear" w:color="auto" w:fill="4F81BD" w:themeFill="accent1"/>
          </w:tcPr>
          <w:p w:rsidR="00F517EF" w:rsidRDefault="00F517EF" w:rsidP="006A2918">
            <w:pPr>
              <w:keepLines/>
              <w:jc w:val="center"/>
            </w:pPr>
            <w:r w:rsidRPr="007F4DB2">
              <w:rPr>
                <w:color w:val="FFFFFF" w:themeColor="background1"/>
              </w:rPr>
              <w:t>Washington</w:t>
            </w:r>
          </w:p>
        </w:tc>
      </w:tr>
      <w:tr w:rsidR="00F517EF" w:rsidTr="006A2918">
        <w:trPr>
          <w:trHeight w:val="236"/>
        </w:trPr>
        <w:tc>
          <w:tcPr>
            <w:tcW w:w="2172" w:type="dxa"/>
          </w:tcPr>
          <w:p w:rsidR="00F517EF" w:rsidRDefault="00143775" w:rsidP="006A2918">
            <w:pPr>
              <w:keepLines/>
            </w:pPr>
            <w:hyperlink r:id="rId31" w:history="1">
              <w:r w:rsidR="00F517EF" w:rsidRPr="007F4DB2">
                <w:rPr>
                  <w:rStyle w:val="Hyperlink"/>
                </w:rPr>
                <w:t>HB 1209</w:t>
              </w:r>
            </w:hyperlink>
          </w:p>
          <w:p w:rsidR="00F517EF" w:rsidRDefault="00F517EF" w:rsidP="006A2918">
            <w:pPr>
              <w:keepLines/>
            </w:pPr>
            <w:r>
              <w:lastRenderedPageBreak/>
              <w:t>SB 5396</w:t>
            </w:r>
          </w:p>
        </w:tc>
        <w:tc>
          <w:tcPr>
            <w:tcW w:w="6545" w:type="dxa"/>
          </w:tcPr>
          <w:p w:rsidR="00F517EF" w:rsidRDefault="00F517EF" w:rsidP="006A2918">
            <w:pPr>
              <w:keepLines/>
            </w:pPr>
            <w:r>
              <w:lastRenderedPageBreak/>
              <w:t xml:space="preserve">Allow credit unions to accept public deposits that exceed the </w:t>
            </w:r>
            <w:r>
              <w:lastRenderedPageBreak/>
              <w:t>maximum deposit insured by the NCUA share insurance fund.</w:t>
            </w:r>
          </w:p>
        </w:tc>
        <w:tc>
          <w:tcPr>
            <w:tcW w:w="4361" w:type="dxa"/>
          </w:tcPr>
          <w:p w:rsidR="00F517EF" w:rsidRDefault="00F517EF" w:rsidP="006A2918">
            <w:pPr>
              <w:keepLines/>
            </w:pPr>
            <w:r>
              <w:lastRenderedPageBreak/>
              <w:t>Passed House</w:t>
            </w:r>
          </w:p>
          <w:p w:rsidR="00F517EF" w:rsidRDefault="00F517EF" w:rsidP="006A2918">
            <w:pPr>
              <w:keepLines/>
            </w:pPr>
            <w:r>
              <w:lastRenderedPageBreak/>
              <w:t>In Senate Committee</w:t>
            </w:r>
          </w:p>
        </w:tc>
      </w:tr>
      <w:tr w:rsidR="00F517EF" w:rsidTr="006A2918">
        <w:trPr>
          <w:trHeight w:val="236"/>
        </w:trPr>
        <w:tc>
          <w:tcPr>
            <w:tcW w:w="2172" w:type="dxa"/>
          </w:tcPr>
          <w:p w:rsidR="00F517EF" w:rsidRDefault="00143775" w:rsidP="006A2918">
            <w:pPr>
              <w:keepLines/>
            </w:pPr>
            <w:hyperlink r:id="rId32" w:history="1">
              <w:r w:rsidR="00F517EF" w:rsidRPr="007F4DB2">
                <w:rPr>
                  <w:rStyle w:val="Hyperlink"/>
                </w:rPr>
                <w:t>HB 1318</w:t>
              </w:r>
            </w:hyperlink>
          </w:p>
        </w:tc>
        <w:tc>
          <w:tcPr>
            <w:tcW w:w="6545" w:type="dxa"/>
          </w:tcPr>
          <w:p w:rsidR="00F517EF" w:rsidRDefault="00F517EF" w:rsidP="006A2918">
            <w:pPr>
              <w:keepLines/>
            </w:pPr>
            <w:r>
              <w:t xml:space="preserve">Allow state-chartered credit unions to accept supplemental capital to build net worth.  </w:t>
            </w:r>
          </w:p>
        </w:tc>
        <w:tc>
          <w:tcPr>
            <w:tcW w:w="4361" w:type="dxa"/>
          </w:tcPr>
          <w:p w:rsidR="00F517EF" w:rsidRDefault="00F517EF" w:rsidP="006A2918">
            <w:pPr>
              <w:keepLines/>
            </w:pPr>
            <w:r>
              <w:t>In House Committee</w:t>
            </w:r>
          </w:p>
        </w:tc>
      </w:tr>
      <w:tr w:rsidR="00F517EF" w:rsidTr="006A2918">
        <w:trPr>
          <w:trHeight w:val="236"/>
        </w:trPr>
        <w:tc>
          <w:tcPr>
            <w:tcW w:w="2172" w:type="dxa"/>
          </w:tcPr>
          <w:p w:rsidR="00F517EF" w:rsidRDefault="00F517EF" w:rsidP="006A2918">
            <w:pPr>
              <w:keepLines/>
            </w:pPr>
          </w:p>
        </w:tc>
        <w:tc>
          <w:tcPr>
            <w:tcW w:w="6545" w:type="dxa"/>
          </w:tcPr>
          <w:p w:rsidR="00F517EF" w:rsidRDefault="00F517EF" w:rsidP="006A2918">
            <w:pPr>
              <w:keepLines/>
            </w:pPr>
          </w:p>
        </w:tc>
        <w:tc>
          <w:tcPr>
            <w:tcW w:w="4361" w:type="dxa"/>
          </w:tcPr>
          <w:p w:rsidR="00F517EF" w:rsidRDefault="00F517EF" w:rsidP="006A2918">
            <w:pPr>
              <w:keepLines/>
            </w:pPr>
          </w:p>
        </w:tc>
      </w:tr>
      <w:tr w:rsidR="00F517EF" w:rsidTr="006A2918">
        <w:trPr>
          <w:trHeight w:val="236"/>
        </w:trPr>
        <w:tc>
          <w:tcPr>
            <w:tcW w:w="2172" w:type="dxa"/>
          </w:tcPr>
          <w:p w:rsidR="00F517EF" w:rsidRDefault="00F517EF" w:rsidP="006A2918">
            <w:pPr>
              <w:keepLines/>
            </w:pPr>
          </w:p>
        </w:tc>
        <w:tc>
          <w:tcPr>
            <w:tcW w:w="6545" w:type="dxa"/>
          </w:tcPr>
          <w:p w:rsidR="00F517EF" w:rsidRDefault="00F517EF" w:rsidP="006A2918">
            <w:pPr>
              <w:keepLines/>
            </w:pPr>
          </w:p>
        </w:tc>
        <w:tc>
          <w:tcPr>
            <w:tcW w:w="4361" w:type="dxa"/>
          </w:tcPr>
          <w:p w:rsidR="00F517EF" w:rsidRDefault="00F517EF" w:rsidP="006A2918">
            <w:pPr>
              <w:keepLines/>
            </w:pPr>
          </w:p>
        </w:tc>
      </w:tr>
    </w:tbl>
    <w:p w:rsidR="00F517EF" w:rsidRDefault="00F517EF" w:rsidP="00D1188B"/>
    <w:p w:rsidR="00013BF9" w:rsidRPr="00013BF9" w:rsidRDefault="00013BF9" w:rsidP="00D1188B">
      <w:pPr>
        <w:rPr>
          <w:b/>
          <w:sz w:val="28"/>
          <w:szCs w:val="28"/>
        </w:rPr>
      </w:pPr>
      <w:r w:rsidRPr="00013BF9">
        <w:rPr>
          <w:b/>
          <w:sz w:val="28"/>
          <w:szCs w:val="28"/>
        </w:rPr>
        <w:t>IMPORTANT DATES</w:t>
      </w:r>
    </w:p>
    <w:p w:rsidR="00225F57" w:rsidRDefault="00B2494D" w:rsidP="00D830AA">
      <w:bookmarkStart w:id="1" w:name="_GoBack"/>
      <w:bookmarkEnd w:id="1"/>
      <w:r w:rsidRPr="00B2494D">
        <w:rPr>
          <w:b/>
        </w:rPr>
        <w:t>Call Report due dates for 2017</w:t>
      </w:r>
      <w:r>
        <w:t xml:space="preserve">:  January 29, April 30, July 30, and October 29 (the last Sunday of the month following the quarter end).  </w:t>
      </w:r>
    </w:p>
    <w:p w:rsidR="000F5081" w:rsidRPr="00DD1CB4" w:rsidRDefault="000F5081"/>
    <w:sectPr w:rsidR="000F5081" w:rsidRPr="00DD1CB4" w:rsidSect="004670B2">
      <w:headerReference w:type="default" r:id="rId33"/>
      <w:footerReference w:type="default" r:id="rId3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026" w:rsidRDefault="009C5026" w:rsidP="009516FB">
      <w:pPr>
        <w:spacing w:after="0" w:line="240" w:lineRule="auto"/>
      </w:pPr>
      <w:r>
        <w:separator/>
      </w:r>
    </w:p>
  </w:endnote>
  <w:endnote w:type="continuationSeparator" w:id="0">
    <w:p w:rsidR="009C5026" w:rsidRDefault="009C5026" w:rsidP="0095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026" w:rsidRDefault="009C5026" w:rsidP="009516FB">
    <w:pPr>
      <w:pStyle w:val="Footer"/>
      <w:jc w:val="right"/>
    </w:pPr>
    <w:r>
      <w:rPr>
        <w:noProof/>
      </w:rPr>
      <w:drawing>
        <wp:inline distT="0" distB="0" distL="0" distR="0" wp14:anchorId="7666BC11" wp14:editId="5E49D36E">
          <wp:extent cx="2133600"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13105"/>
                  </a:xfrm>
                  <a:prstGeom prst="rect">
                    <a:avLst/>
                  </a:prstGeom>
                  <a:noFill/>
                </pic:spPr>
              </pic:pic>
            </a:graphicData>
          </a:graphic>
        </wp:inline>
      </w:drawing>
    </w:r>
    <w:r>
      <w:t xml:space="preserve">                                                  Legislative Update February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026" w:rsidRDefault="009C5026" w:rsidP="009516FB">
      <w:pPr>
        <w:spacing w:after="0" w:line="240" w:lineRule="auto"/>
      </w:pPr>
      <w:r>
        <w:separator/>
      </w:r>
    </w:p>
  </w:footnote>
  <w:footnote w:type="continuationSeparator" w:id="0">
    <w:p w:rsidR="009C5026" w:rsidRDefault="009C5026" w:rsidP="00951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028335"/>
      <w:docPartObj>
        <w:docPartGallery w:val="Page Numbers (Top of Page)"/>
        <w:docPartUnique/>
      </w:docPartObj>
    </w:sdtPr>
    <w:sdtEndPr>
      <w:rPr>
        <w:noProof/>
      </w:rPr>
    </w:sdtEndPr>
    <w:sdtContent>
      <w:p w:rsidR="009C5026" w:rsidRDefault="009C5026">
        <w:pPr>
          <w:pStyle w:val="Header"/>
          <w:jc w:val="right"/>
        </w:pPr>
        <w:r>
          <w:fldChar w:fldCharType="begin"/>
        </w:r>
        <w:r>
          <w:instrText xml:space="preserve"> PAGE   \* MERGEFORMAT </w:instrText>
        </w:r>
        <w:r>
          <w:fldChar w:fldCharType="separate"/>
        </w:r>
        <w:r w:rsidR="00143775">
          <w:rPr>
            <w:noProof/>
          </w:rPr>
          <w:t>3</w:t>
        </w:r>
        <w:r>
          <w:rPr>
            <w:noProof/>
          </w:rPr>
          <w:fldChar w:fldCharType="end"/>
        </w:r>
      </w:p>
    </w:sdtContent>
  </w:sdt>
  <w:p w:rsidR="009C5026" w:rsidRDefault="009C5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6EF"/>
    <w:multiLevelType w:val="multilevel"/>
    <w:tmpl w:val="C3AE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20100"/>
    <w:multiLevelType w:val="hybridMultilevel"/>
    <w:tmpl w:val="F42E4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E7D9B"/>
    <w:multiLevelType w:val="hybridMultilevel"/>
    <w:tmpl w:val="58F067C4"/>
    <w:lvl w:ilvl="0" w:tplc="141CBF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A3CB8"/>
    <w:multiLevelType w:val="hybridMultilevel"/>
    <w:tmpl w:val="6C348528"/>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F03A7"/>
    <w:multiLevelType w:val="hybridMultilevel"/>
    <w:tmpl w:val="8A84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75FE3"/>
    <w:multiLevelType w:val="hybridMultilevel"/>
    <w:tmpl w:val="D51E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B3667"/>
    <w:multiLevelType w:val="hybridMultilevel"/>
    <w:tmpl w:val="BE043168"/>
    <w:lvl w:ilvl="0" w:tplc="8D5A2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11F3F"/>
    <w:multiLevelType w:val="hybridMultilevel"/>
    <w:tmpl w:val="100C1B8E"/>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26A89"/>
    <w:multiLevelType w:val="multilevel"/>
    <w:tmpl w:val="9316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810930"/>
    <w:multiLevelType w:val="hybridMultilevel"/>
    <w:tmpl w:val="BE984502"/>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517DE"/>
    <w:multiLevelType w:val="multilevel"/>
    <w:tmpl w:val="9A8E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F822BA"/>
    <w:multiLevelType w:val="hybridMultilevel"/>
    <w:tmpl w:val="C42A2EC0"/>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4"/>
  </w:num>
  <w:num w:numId="5">
    <w:abstractNumId w:val="8"/>
  </w:num>
  <w:num w:numId="6">
    <w:abstractNumId w:val="1"/>
  </w:num>
  <w:num w:numId="7">
    <w:abstractNumId w:val="7"/>
  </w:num>
  <w:num w:numId="8">
    <w:abstractNumId w:val="6"/>
  </w:num>
  <w:num w:numId="9">
    <w:abstractNumId w:val="11"/>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B2"/>
    <w:rsid w:val="00001E88"/>
    <w:rsid w:val="00011112"/>
    <w:rsid w:val="00013BF9"/>
    <w:rsid w:val="00013FA8"/>
    <w:rsid w:val="00016A3D"/>
    <w:rsid w:val="00033069"/>
    <w:rsid w:val="00036A9E"/>
    <w:rsid w:val="0004395A"/>
    <w:rsid w:val="00050E93"/>
    <w:rsid w:val="00053D69"/>
    <w:rsid w:val="0005474C"/>
    <w:rsid w:val="00062373"/>
    <w:rsid w:val="000704A8"/>
    <w:rsid w:val="0007572E"/>
    <w:rsid w:val="000C57E2"/>
    <w:rsid w:val="000C6F62"/>
    <w:rsid w:val="000D2411"/>
    <w:rsid w:val="000E0E4E"/>
    <w:rsid w:val="000E1F7A"/>
    <w:rsid w:val="000F5081"/>
    <w:rsid w:val="00105532"/>
    <w:rsid w:val="00105BF0"/>
    <w:rsid w:val="00113262"/>
    <w:rsid w:val="00114BD2"/>
    <w:rsid w:val="0012584F"/>
    <w:rsid w:val="001371A1"/>
    <w:rsid w:val="00137A4B"/>
    <w:rsid w:val="00143775"/>
    <w:rsid w:val="00152E97"/>
    <w:rsid w:val="00154381"/>
    <w:rsid w:val="00155503"/>
    <w:rsid w:val="00155BB2"/>
    <w:rsid w:val="00172B95"/>
    <w:rsid w:val="00173106"/>
    <w:rsid w:val="00174A57"/>
    <w:rsid w:val="00176A30"/>
    <w:rsid w:val="00176BAE"/>
    <w:rsid w:val="001924F5"/>
    <w:rsid w:val="0019373F"/>
    <w:rsid w:val="001B36FB"/>
    <w:rsid w:val="001B4DB6"/>
    <w:rsid w:val="001C24FB"/>
    <w:rsid w:val="001F2A05"/>
    <w:rsid w:val="001F4193"/>
    <w:rsid w:val="00201A42"/>
    <w:rsid w:val="00207316"/>
    <w:rsid w:val="00215590"/>
    <w:rsid w:val="00217B65"/>
    <w:rsid w:val="0022595F"/>
    <w:rsid w:val="00225F57"/>
    <w:rsid w:val="00233F19"/>
    <w:rsid w:val="002362A2"/>
    <w:rsid w:val="00251848"/>
    <w:rsid w:val="00261F16"/>
    <w:rsid w:val="002635E0"/>
    <w:rsid w:val="00265D6B"/>
    <w:rsid w:val="00272CD7"/>
    <w:rsid w:val="00274CDA"/>
    <w:rsid w:val="00294580"/>
    <w:rsid w:val="002B082F"/>
    <w:rsid w:val="002B38F0"/>
    <w:rsid w:val="002B4E3D"/>
    <w:rsid w:val="002B6DAC"/>
    <w:rsid w:val="002C4A0B"/>
    <w:rsid w:val="002D029F"/>
    <w:rsid w:val="002E109D"/>
    <w:rsid w:val="002F3DF3"/>
    <w:rsid w:val="002F4525"/>
    <w:rsid w:val="003011AF"/>
    <w:rsid w:val="003017B9"/>
    <w:rsid w:val="003245BB"/>
    <w:rsid w:val="00336C3F"/>
    <w:rsid w:val="00356321"/>
    <w:rsid w:val="00366CE9"/>
    <w:rsid w:val="0038010D"/>
    <w:rsid w:val="00394799"/>
    <w:rsid w:val="003B117B"/>
    <w:rsid w:val="003B2BCF"/>
    <w:rsid w:val="003B5637"/>
    <w:rsid w:val="003B5E21"/>
    <w:rsid w:val="003C7920"/>
    <w:rsid w:val="003D64B3"/>
    <w:rsid w:val="003E0302"/>
    <w:rsid w:val="003E2AD1"/>
    <w:rsid w:val="003E70C6"/>
    <w:rsid w:val="003F618F"/>
    <w:rsid w:val="004070E9"/>
    <w:rsid w:val="00413996"/>
    <w:rsid w:val="0042461E"/>
    <w:rsid w:val="004331F4"/>
    <w:rsid w:val="00435186"/>
    <w:rsid w:val="00443C0F"/>
    <w:rsid w:val="00444FFD"/>
    <w:rsid w:val="00445E61"/>
    <w:rsid w:val="00451B34"/>
    <w:rsid w:val="00451DB7"/>
    <w:rsid w:val="00453DA0"/>
    <w:rsid w:val="004629C9"/>
    <w:rsid w:val="004670B2"/>
    <w:rsid w:val="0048047D"/>
    <w:rsid w:val="004B0CF2"/>
    <w:rsid w:val="004B1A12"/>
    <w:rsid w:val="004B7407"/>
    <w:rsid w:val="004C2F31"/>
    <w:rsid w:val="004C4FD5"/>
    <w:rsid w:val="004D5C8D"/>
    <w:rsid w:val="004E02B2"/>
    <w:rsid w:val="004E6E06"/>
    <w:rsid w:val="004F6A93"/>
    <w:rsid w:val="004F7B91"/>
    <w:rsid w:val="00502F4F"/>
    <w:rsid w:val="00503A84"/>
    <w:rsid w:val="00513A6B"/>
    <w:rsid w:val="005208A0"/>
    <w:rsid w:val="00525941"/>
    <w:rsid w:val="00526961"/>
    <w:rsid w:val="0057444C"/>
    <w:rsid w:val="005A164C"/>
    <w:rsid w:val="005B2EEA"/>
    <w:rsid w:val="005C072A"/>
    <w:rsid w:val="005D4EA4"/>
    <w:rsid w:val="005F4AC9"/>
    <w:rsid w:val="005F4D1E"/>
    <w:rsid w:val="00603473"/>
    <w:rsid w:val="00605BAB"/>
    <w:rsid w:val="00615725"/>
    <w:rsid w:val="006264E4"/>
    <w:rsid w:val="00630088"/>
    <w:rsid w:val="00630275"/>
    <w:rsid w:val="00630DEC"/>
    <w:rsid w:val="00632317"/>
    <w:rsid w:val="00634CA3"/>
    <w:rsid w:val="00644E58"/>
    <w:rsid w:val="006468AC"/>
    <w:rsid w:val="00667C6B"/>
    <w:rsid w:val="00672066"/>
    <w:rsid w:val="006908CC"/>
    <w:rsid w:val="00692031"/>
    <w:rsid w:val="00693EF2"/>
    <w:rsid w:val="006A0683"/>
    <w:rsid w:val="006A2918"/>
    <w:rsid w:val="006A7271"/>
    <w:rsid w:val="006B3DE0"/>
    <w:rsid w:val="006B67AC"/>
    <w:rsid w:val="006B6D03"/>
    <w:rsid w:val="006C0A16"/>
    <w:rsid w:val="006C3107"/>
    <w:rsid w:val="006D0C47"/>
    <w:rsid w:val="006D2DF4"/>
    <w:rsid w:val="006D4256"/>
    <w:rsid w:val="006E10DB"/>
    <w:rsid w:val="007075BA"/>
    <w:rsid w:val="00710285"/>
    <w:rsid w:val="007122A3"/>
    <w:rsid w:val="00714311"/>
    <w:rsid w:val="00734132"/>
    <w:rsid w:val="0075139C"/>
    <w:rsid w:val="0076011C"/>
    <w:rsid w:val="00766BE3"/>
    <w:rsid w:val="007761FF"/>
    <w:rsid w:val="00780EB2"/>
    <w:rsid w:val="0079268D"/>
    <w:rsid w:val="007A49A6"/>
    <w:rsid w:val="007A4A48"/>
    <w:rsid w:val="007A78BD"/>
    <w:rsid w:val="007B2E65"/>
    <w:rsid w:val="007C7A17"/>
    <w:rsid w:val="007E2F0F"/>
    <w:rsid w:val="007E5A30"/>
    <w:rsid w:val="007F1644"/>
    <w:rsid w:val="007F444F"/>
    <w:rsid w:val="007F4EEC"/>
    <w:rsid w:val="0080103B"/>
    <w:rsid w:val="00806853"/>
    <w:rsid w:val="008111CC"/>
    <w:rsid w:val="0081242C"/>
    <w:rsid w:val="0082731E"/>
    <w:rsid w:val="00847BAF"/>
    <w:rsid w:val="00857D6B"/>
    <w:rsid w:val="00863C31"/>
    <w:rsid w:val="00864656"/>
    <w:rsid w:val="00870B44"/>
    <w:rsid w:val="0087131F"/>
    <w:rsid w:val="00873B59"/>
    <w:rsid w:val="008756E8"/>
    <w:rsid w:val="00881E57"/>
    <w:rsid w:val="008821F9"/>
    <w:rsid w:val="00886D2A"/>
    <w:rsid w:val="00891FE6"/>
    <w:rsid w:val="00897886"/>
    <w:rsid w:val="008A14C6"/>
    <w:rsid w:val="008B03E6"/>
    <w:rsid w:val="008B5C5C"/>
    <w:rsid w:val="008C7F59"/>
    <w:rsid w:val="008D78E1"/>
    <w:rsid w:val="008E19EA"/>
    <w:rsid w:val="008E296D"/>
    <w:rsid w:val="008E711C"/>
    <w:rsid w:val="0091703E"/>
    <w:rsid w:val="00920A21"/>
    <w:rsid w:val="00924FE5"/>
    <w:rsid w:val="00925885"/>
    <w:rsid w:val="009322F0"/>
    <w:rsid w:val="00933EB4"/>
    <w:rsid w:val="009478D9"/>
    <w:rsid w:val="009516FB"/>
    <w:rsid w:val="00980C97"/>
    <w:rsid w:val="009837E4"/>
    <w:rsid w:val="00983CC0"/>
    <w:rsid w:val="00990BAD"/>
    <w:rsid w:val="009937AD"/>
    <w:rsid w:val="0099695C"/>
    <w:rsid w:val="009A5E71"/>
    <w:rsid w:val="009A716D"/>
    <w:rsid w:val="009A7FE9"/>
    <w:rsid w:val="009B25D5"/>
    <w:rsid w:val="009C4E16"/>
    <w:rsid w:val="009C5026"/>
    <w:rsid w:val="009D0E2F"/>
    <w:rsid w:val="009E1BCF"/>
    <w:rsid w:val="009F00D3"/>
    <w:rsid w:val="00A03475"/>
    <w:rsid w:val="00A07BED"/>
    <w:rsid w:val="00A10A42"/>
    <w:rsid w:val="00A13CB2"/>
    <w:rsid w:val="00A367AD"/>
    <w:rsid w:val="00A371E4"/>
    <w:rsid w:val="00A54A69"/>
    <w:rsid w:val="00A731C9"/>
    <w:rsid w:val="00A770CD"/>
    <w:rsid w:val="00A775BA"/>
    <w:rsid w:val="00A81DA4"/>
    <w:rsid w:val="00A82B32"/>
    <w:rsid w:val="00A84002"/>
    <w:rsid w:val="00A8721F"/>
    <w:rsid w:val="00A96B19"/>
    <w:rsid w:val="00A97370"/>
    <w:rsid w:val="00AB217B"/>
    <w:rsid w:val="00AC1EC4"/>
    <w:rsid w:val="00AC28C6"/>
    <w:rsid w:val="00AC6A22"/>
    <w:rsid w:val="00AD2397"/>
    <w:rsid w:val="00AD5A87"/>
    <w:rsid w:val="00AD5AFA"/>
    <w:rsid w:val="00AD6AF4"/>
    <w:rsid w:val="00AE3AA2"/>
    <w:rsid w:val="00AF302A"/>
    <w:rsid w:val="00B01B28"/>
    <w:rsid w:val="00B11197"/>
    <w:rsid w:val="00B1548D"/>
    <w:rsid w:val="00B2494D"/>
    <w:rsid w:val="00B34E2E"/>
    <w:rsid w:val="00B355D2"/>
    <w:rsid w:val="00B35870"/>
    <w:rsid w:val="00B440A3"/>
    <w:rsid w:val="00B52D08"/>
    <w:rsid w:val="00B532FB"/>
    <w:rsid w:val="00B623E9"/>
    <w:rsid w:val="00B66E90"/>
    <w:rsid w:val="00B71928"/>
    <w:rsid w:val="00B819BC"/>
    <w:rsid w:val="00B975E7"/>
    <w:rsid w:val="00BA5444"/>
    <w:rsid w:val="00BB1B58"/>
    <w:rsid w:val="00BB6B54"/>
    <w:rsid w:val="00BD479B"/>
    <w:rsid w:val="00BD5ADC"/>
    <w:rsid w:val="00C012BB"/>
    <w:rsid w:val="00C02DF2"/>
    <w:rsid w:val="00C0564A"/>
    <w:rsid w:val="00C12A79"/>
    <w:rsid w:val="00C15E43"/>
    <w:rsid w:val="00C1691D"/>
    <w:rsid w:val="00C40D53"/>
    <w:rsid w:val="00C417A3"/>
    <w:rsid w:val="00C5176C"/>
    <w:rsid w:val="00C52445"/>
    <w:rsid w:val="00C53A07"/>
    <w:rsid w:val="00C6554D"/>
    <w:rsid w:val="00C721DB"/>
    <w:rsid w:val="00C77CEE"/>
    <w:rsid w:val="00C83BE8"/>
    <w:rsid w:val="00C950B3"/>
    <w:rsid w:val="00CA0305"/>
    <w:rsid w:val="00CA2872"/>
    <w:rsid w:val="00CC60FF"/>
    <w:rsid w:val="00CD1AC9"/>
    <w:rsid w:val="00CE1A73"/>
    <w:rsid w:val="00CE26B8"/>
    <w:rsid w:val="00CF22C2"/>
    <w:rsid w:val="00D1188B"/>
    <w:rsid w:val="00D121D2"/>
    <w:rsid w:val="00D12C32"/>
    <w:rsid w:val="00D25AD2"/>
    <w:rsid w:val="00D3009A"/>
    <w:rsid w:val="00D311E0"/>
    <w:rsid w:val="00D342C8"/>
    <w:rsid w:val="00D42123"/>
    <w:rsid w:val="00D608FB"/>
    <w:rsid w:val="00D64643"/>
    <w:rsid w:val="00D830AA"/>
    <w:rsid w:val="00DB2422"/>
    <w:rsid w:val="00DC082C"/>
    <w:rsid w:val="00DC094A"/>
    <w:rsid w:val="00DC5948"/>
    <w:rsid w:val="00DC71AF"/>
    <w:rsid w:val="00DD0103"/>
    <w:rsid w:val="00DD09C7"/>
    <w:rsid w:val="00DD1CB4"/>
    <w:rsid w:val="00DD3ABC"/>
    <w:rsid w:val="00DF483C"/>
    <w:rsid w:val="00E02279"/>
    <w:rsid w:val="00E11D08"/>
    <w:rsid w:val="00E13DD7"/>
    <w:rsid w:val="00E31E6D"/>
    <w:rsid w:val="00E60521"/>
    <w:rsid w:val="00E60F45"/>
    <w:rsid w:val="00E80D83"/>
    <w:rsid w:val="00E81DCB"/>
    <w:rsid w:val="00E84648"/>
    <w:rsid w:val="00EA7A23"/>
    <w:rsid w:val="00EC5CB5"/>
    <w:rsid w:val="00ED793F"/>
    <w:rsid w:val="00EF1DD3"/>
    <w:rsid w:val="00EF618B"/>
    <w:rsid w:val="00F026C4"/>
    <w:rsid w:val="00F02739"/>
    <w:rsid w:val="00F059BB"/>
    <w:rsid w:val="00F067FC"/>
    <w:rsid w:val="00F2538A"/>
    <w:rsid w:val="00F26D48"/>
    <w:rsid w:val="00F43456"/>
    <w:rsid w:val="00F443AC"/>
    <w:rsid w:val="00F507E6"/>
    <w:rsid w:val="00F517EF"/>
    <w:rsid w:val="00F55547"/>
    <w:rsid w:val="00F628F8"/>
    <w:rsid w:val="00F6705E"/>
    <w:rsid w:val="00F7041B"/>
    <w:rsid w:val="00F76BD4"/>
    <w:rsid w:val="00F90EDC"/>
    <w:rsid w:val="00F970CC"/>
    <w:rsid w:val="00FA16B3"/>
    <w:rsid w:val="00FA7669"/>
    <w:rsid w:val="00FC005D"/>
    <w:rsid w:val="00FD3FF3"/>
    <w:rsid w:val="00FD690C"/>
    <w:rsid w:val="00FF7353"/>
    <w:rsid w:val="00FF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459D738"/>
  <w15:docId w15:val="{BA0B5738-5880-4AB4-A1B5-C2C633F0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70B2"/>
    <w:rPr>
      <w:rFonts w:eastAsiaTheme="minorEastAsia"/>
    </w:rPr>
  </w:style>
  <w:style w:type="paragraph" w:styleId="Heading2">
    <w:name w:val="heading 2"/>
    <w:basedOn w:val="Normal"/>
    <w:next w:val="Normal"/>
    <w:link w:val="Heading2Char"/>
    <w:uiPriority w:val="9"/>
    <w:semiHidden/>
    <w:unhideWhenUsed/>
    <w:qFormat/>
    <w:rsid w:val="000330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7E5A30"/>
    <w:pPr>
      <w:spacing w:before="75" w:after="75"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B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0B2"/>
    <w:rPr>
      <w:color w:val="0000FF" w:themeColor="hyperlink"/>
      <w:u w:val="single"/>
    </w:rPr>
  </w:style>
  <w:style w:type="character" w:customStyle="1" w:styleId="h31">
    <w:name w:val="h31"/>
    <w:basedOn w:val="DefaultParagraphFont"/>
    <w:rsid w:val="00DB2422"/>
    <w:rPr>
      <w:rFonts w:ascii="Arial Black" w:hAnsi="Arial Black" w:hint="default"/>
      <w:b w:val="0"/>
      <w:bCs w:val="0"/>
      <w:color w:val="000000"/>
      <w:sz w:val="24"/>
      <w:szCs w:val="24"/>
    </w:rPr>
  </w:style>
  <w:style w:type="paragraph" w:styleId="NormalWeb">
    <w:name w:val="Normal (Web)"/>
    <w:basedOn w:val="Normal"/>
    <w:uiPriority w:val="99"/>
    <w:unhideWhenUsed/>
    <w:rsid w:val="00F5554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B1A12"/>
    <w:rPr>
      <w:color w:val="800080" w:themeColor="followedHyperlink"/>
      <w:u w:val="single"/>
    </w:rPr>
  </w:style>
  <w:style w:type="character" w:styleId="Strong">
    <w:name w:val="Strong"/>
    <w:basedOn w:val="DefaultParagraphFont"/>
    <w:uiPriority w:val="22"/>
    <w:qFormat/>
    <w:rsid w:val="00F02739"/>
    <w:rPr>
      <w:b/>
      <w:bCs/>
    </w:rPr>
  </w:style>
  <w:style w:type="paragraph" w:styleId="BalloonText">
    <w:name w:val="Balloon Text"/>
    <w:basedOn w:val="Normal"/>
    <w:link w:val="BalloonTextChar"/>
    <w:uiPriority w:val="99"/>
    <w:semiHidden/>
    <w:unhideWhenUsed/>
    <w:rsid w:val="00951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6FB"/>
    <w:rPr>
      <w:rFonts w:ascii="Tahoma" w:eastAsiaTheme="minorEastAsia" w:hAnsi="Tahoma" w:cs="Tahoma"/>
      <w:sz w:val="16"/>
      <w:szCs w:val="16"/>
    </w:rPr>
  </w:style>
  <w:style w:type="paragraph" w:styleId="Header">
    <w:name w:val="header"/>
    <w:basedOn w:val="Normal"/>
    <w:link w:val="HeaderChar"/>
    <w:uiPriority w:val="99"/>
    <w:unhideWhenUsed/>
    <w:rsid w:val="00951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6FB"/>
    <w:rPr>
      <w:rFonts w:eastAsiaTheme="minorEastAsia"/>
    </w:rPr>
  </w:style>
  <w:style w:type="paragraph" w:styleId="Footer">
    <w:name w:val="footer"/>
    <w:basedOn w:val="Normal"/>
    <w:link w:val="FooterChar"/>
    <w:uiPriority w:val="99"/>
    <w:unhideWhenUsed/>
    <w:rsid w:val="00951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6FB"/>
    <w:rPr>
      <w:rFonts w:eastAsiaTheme="minorEastAsia"/>
    </w:rPr>
  </w:style>
  <w:style w:type="character" w:customStyle="1" w:styleId="volume">
    <w:name w:val="volume"/>
    <w:basedOn w:val="DefaultParagraphFont"/>
    <w:rsid w:val="00C1691D"/>
  </w:style>
  <w:style w:type="character" w:customStyle="1" w:styleId="page">
    <w:name w:val="page"/>
    <w:basedOn w:val="DefaultParagraphFont"/>
    <w:rsid w:val="00C1691D"/>
  </w:style>
  <w:style w:type="paragraph" w:styleId="ListParagraph">
    <w:name w:val="List Paragraph"/>
    <w:basedOn w:val="Normal"/>
    <w:uiPriority w:val="34"/>
    <w:qFormat/>
    <w:rsid w:val="00356321"/>
    <w:pPr>
      <w:ind w:left="720"/>
      <w:contextualSpacing/>
    </w:pPr>
  </w:style>
  <w:style w:type="character" w:styleId="CommentReference">
    <w:name w:val="annotation reference"/>
    <w:basedOn w:val="DefaultParagraphFont"/>
    <w:uiPriority w:val="99"/>
    <w:semiHidden/>
    <w:unhideWhenUsed/>
    <w:rsid w:val="00C950B3"/>
    <w:rPr>
      <w:sz w:val="16"/>
      <w:szCs w:val="16"/>
    </w:rPr>
  </w:style>
  <w:style w:type="paragraph" w:styleId="CommentText">
    <w:name w:val="annotation text"/>
    <w:basedOn w:val="Normal"/>
    <w:link w:val="CommentTextChar"/>
    <w:uiPriority w:val="99"/>
    <w:semiHidden/>
    <w:unhideWhenUsed/>
    <w:rsid w:val="00C950B3"/>
    <w:pPr>
      <w:spacing w:line="240" w:lineRule="auto"/>
    </w:pPr>
    <w:rPr>
      <w:sz w:val="20"/>
      <w:szCs w:val="20"/>
    </w:rPr>
  </w:style>
  <w:style w:type="character" w:customStyle="1" w:styleId="CommentTextChar">
    <w:name w:val="Comment Text Char"/>
    <w:basedOn w:val="DefaultParagraphFont"/>
    <w:link w:val="CommentText"/>
    <w:uiPriority w:val="99"/>
    <w:semiHidden/>
    <w:rsid w:val="00C950B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950B3"/>
    <w:rPr>
      <w:b/>
      <w:bCs/>
    </w:rPr>
  </w:style>
  <w:style w:type="character" w:customStyle="1" w:styleId="CommentSubjectChar">
    <w:name w:val="Comment Subject Char"/>
    <w:basedOn w:val="CommentTextChar"/>
    <w:link w:val="CommentSubject"/>
    <w:uiPriority w:val="99"/>
    <w:semiHidden/>
    <w:rsid w:val="00C950B3"/>
    <w:rPr>
      <w:rFonts w:eastAsiaTheme="minorEastAsia"/>
      <w:b/>
      <w:bCs/>
      <w:sz w:val="20"/>
      <w:szCs w:val="20"/>
    </w:rPr>
  </w:style>
  <w:style w:type="character" w:customStyle="1" w:styleId="apple-converted-space">
    <w:name w:val="apple-converted-space"/>
    <w:basedOn w:val="DefaultParagraphFont"/>
    <w:rsid w:val="007761FF"/>
  </w:style>
  <w:style w:type="character" w:customStyle="1" w:styleId="Heading4Char">
    <w:name w:val="Heading 4 Char"/>
    <w:basedOn w:val="DefaultParagraphFont"/>
    <w:link w:val="Heading4"/>
    <w:uiPriority w:val="9"/>
    <w:rsid w:val="007E5A30"/>
    <w:rPr>
      <w:rFonts w:ascii="Times New Roman" w:eastAsia="Times New Roman" w:hAnsi="Times New Roman" w:cs="Times New Roman"/>
      <w:b/>
      <w:bCs/>
      <w:sz w:val="24"/>
      <w:szCs w:val="24"/>
    </w:rPr>
  </w:style>
  <w:style w:type="character" w:styleId="Emphasis">
    <w:name w:val="Emphasis"/>
    <w:basedOn w:val="DefaultParagraphFont"/>
    <w:uiPriority w:val="20"/>
    <w:qFormat/>
    <w:rsid w:val="008E19EA"/>
    <w:rPr>
      <w:i/>
      <w:iCs/>
    </w:rPr>
  </w:style>
  <w:style w:type="character" w:customStyle="1" w:styleId="Heading2Char">
    <w:name w:val="Heading 2 Char"/>
    <w:basedOn w:val="DefaultParagraphFont"/>
    <w:link w:val="Heading2"/>
    <w:uiPriority w:val="9"/>
    <w:semiHidden/>
    <w:rsid w:val="0003306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969">
      <w:bodyDiv w:val="1"/>
      <w:marLeft w:val="0"/>
      <w:marRight w:val="0"/>
      <w:marTop w:val="0"/>
      <w:marBottom w:val="0"/>
      <w:divBdr>
        <w:top w:val="none" w:sz="0" w:space="0" w:color="auto"/>
        <w:left w:val="none" w:sz="0" w:space="0" w:color="auto"/>
        <w:bottom w:val="none" w:sz="0" w:space="0" w:color="auto"/>
        <w:right w:val="none" w:sz="0" w:space="0" w:color="auto"/>
      </w:divBdr>
      <w:divsChild>
        <w:div w:id="922839204">
          <w:marLeft w:val="0"/>
          <w:marRight w:val="0"/>
          <w:marTop w:val="0"/>
          <w:marBottom w:val="0"/>
          <w:divBdr>
            <w:top w:val="none" w:sz="0" w:space="0" w:color="auto"/>
            <w:left w:val="none" w:sz="0" w:space="0" w:color="auto"/>
            <w:bottom w:val="none" w:sz="0" w:space="0" w:color="auto"/>
            <w:right w:val="none" w:sz="0" w:space="0" w:color="auto"/>
          </w:divBdr>
          <w:divsChild>
            <w:div w:id="1075711462">
              <w:marLeft w:val="0"/>
              <w:marRight w:val="0"/>
              <w:marTop w:val="0"/>
              <w:marBottom w:val="0"/>
              <w:divBdr>
                <w:top w:val="none" w:sz="0" w:space="0" w:color="auto"/>
                <w:left w:val="none" w:sz="0" w:space="0" w:color="auto"/>
                <w:bottom w:val="none" w:sz="0" w:space="0" w:color="auto"/>
                <w:right w:val="none" w:sz="0" w:space="0" w:color="auto"/>
              </w:divBdr>
              <w:divsChild>
                <w:div w:id="921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040">
      <w:bodyDiv w:val="1"/>
      <w:marLeft w:val="0"/>
      <w:marRight w:val="0"/>
      <w:marTop w:val="0"/>
      <w:marBottom w:val="0"/>
      <w:divBdr>
        <w:top w:val="none" w:sz="0" w:space="0" w:color="auto"/>
        <w:left w:val="none" w:sz="0" w:space="0" w:color="auto"/>
        <w:bottom w:val="none" w:sz="0" w:space="0" w:color="auto"/>
        <w:right w:val="none" w:sz="0" w:space="0" w:color="auto"/>
      </w:divBdr>
    </w:div>
    <w:div w:id="1038554086">
      <w:bodyDiv w:val="1"/>
      <w:marLeft w:val="0"/>
      <w:marRight w:val="0"/>
      <w:marTop w:val="0"/>
      <w:marBottom w:val="0"/>
      <w:divBdr>
        <w:top w:val="none" w:sz="0" w:space="0" w:color="auto"/>
        <w:left w:val="none" w:sz="0" w:space="0" w:color="auto"/>
        <w:bottom w:val="none" w:sz="0" w:space="0" w:color="auto"/>
        <w:right w:val="none" w:sz="0" w:space="0" w:color="auto"/>
      </w:divBdr>
    </w:div>
    <w:div w:id="12817193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331">
          <w:marLeft w:val="0"/>
          <w:marRight w:val="0"/>
          <w:marTop w:val="0"/>
          <w:marBottom w:val="0"/>
          <w:divBdr>
            <w:top w:val="none" w:sz="0" w:space="0" w:color="auto"/>
            <w:left w:val="none" w:sz="0" w:space="0" w:color="auto"/>
            <w:bottom w:val="none" w:sz="0" w:space="0" w:color="auto"/>
            <w:right w:val="none" w:sz="0" w:space="0" w:color="auto"/>
          </w:divBdr>
          <w:divsChild>
            <w:div w:id="2032880664">
              <w:marLeft w:val="0"/>
              <w:marRight w:val="0"/>
              <w:marTop w:val="0"/>
              <w:marBottom w:val="0"/>
              <w:divBdr>
                <w:top w:val="none" w:sz="0" w:space="0" w:color="auto"/>
                <w:left w:val="none" w:sz="0" w:space="0" w:color="auto"/>
                <w:bottom w:val="none" w:sz="0" w:space="0" w:color="auto"/>
                <w:right w:val="none" w:sz="0" w:space="0" w:color="auto"/>
              </w:divBdr>
              <w:divsChild>
                <w:div w:id="178088457">
                  <w:marLeft w:val="0"/>
                  <w:marRight w:val="0"/>
                  <w:marTop w:val="0"/>
                  <w:marBottom w:val="0"/>
                  <w:divBdr>
                    <w:top w:val="none" w:sz="0" w:space="0" w:color="auto"/>
                    <w:left w:val="none" w:sz="0" w:space="0" w:color="auto"/>
                    <w:bottom w:val="none" w:sz="0" w:space="0" w:color="auto"/>
                    <w:right w:val="none" w:sz="0" w:space="0" w:color="auto"/>
                  </w:divBdr>
                  <w:divsChild>
                    <w:div w:id="606960972">
                      <w:marLeft w:val="0"/>
                      <w:marRight w:val="0"/>
                      <w:marTop w:val="0"/>
                      <w:marBottom w:val="0"/>
                      <w:divBdr>
                        <w:top w:val="none" w:sz="0" w:space="0" w:color="auto"/>
                        <w:left w:val="none" w:sz="0" w:space="0" w:color="auto"/>
                        <w:bottom w:val="none" w:sz="0" w:space="0" w:color="auto"/>
                        <w:right w:val="none" w:sz="0" w:space="0" w:color="auto"/>
                      </w:divBdr>
                      <w:divsChild>
                        <w:div w:id="1576553154">
                          <w:marLeft w:val="0"/>
                          <w:marRight w:val="0"/>
                          <w:marTop w:val="0"/>
                          <w:marBottom w:val="0"/>
                          <w:divBdr>
                            <w:top w:val="none" w:sz="0" w:space="0" w:color="auto"/>
                            <w:left w:val="none" w:sz="0" w:space="0" w:color="auto"/>
                            <w:bottom w:val="none" w:sz="0" w:space="0" w:color="auto"/>
                            <w:right w:val="none" w:sz="0" w:space="0" w:color="auto"/>
                          </w:divBdr>
                          <w:divsChild>
                            <w:div w:id="1304117915">
                              <w:marLeft w:val="0"/>
                              <w:marRight w:val="0"/>
                              <w:marTop w:val="0"/>
                              <w:marBottom w:val="0"/>
                              <w:divBdr>
                                <w:top w:val="none" w:sz="0" w:space="0" w:color="auto"/>
                                <w:left w:val="none" w:sz="0" w:space="0" w:color="auto"/>
                                <w:bottom w:val="none" w:sz="0" w:space="0" w:color="auto"/>
                                <w:right w:val="none" w:sz="0" w:space="0" w:color="auto"/>
                              </w:divBdr>
                              <w:divsChild>
                                <w:div w:id="309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423611">
      <w:bodyDiv w:val="1"/>
      <w:marLeft w:val="0"/>
      <w:marRight w:val="0"/>
      <w:marTop w:val="0"/>
      <w:marBottom w:val="0"/>
      <w:divBdr>
        <w:top w:val="none" w:sz="0" w:space="0" w:color="auto"/>
        <w:left w:val="none" w:sz="0" w:space="0" w:color="auto"/>
        <w:bottom w:val="none" w:sz="0" w:space="0" w:color="auto"/>
        <w:right w:val="none" w:sz="0" w:space="0" w:color="auto"/>
      </w:divBdr>
      <w:divsChild>
        <w:div w:id="395981390">
          <w:marLeft w:val="0"/>
          <w:marRight w:val="0"/>
          <w:marTop w:val="0"/>
          <w:marBottom w:val="0"/>
          <w:divBdr>
            <w:top w:val="none" w:sz="0" w:space="0" w:color="auto"/>
            <w:left w:val="none" w:sz="0" w:space="0" w:color="auto"/>
            <w:bottom w:val="none" w:sz="0" w:space="0" w:color="auto"/>
            <w:right w:val="none" w:sz="0" w:space="0" w:color="auto"/>
          </w:divBdr>
          <w:divsChild>
            <w:div w:id="1714187619">
              <w:marLeft w:val="0"/>
              <w:marRight w:val="0"/>
              <w:marTop w:val="0"/>
              <w:marBottom w:val="0"/>
              <w:divBdr>
                <w:top w:val="none" w:sz="0" w:space="0" w:color="auto"/>
                <w:left w:val="none" w:sz="0" w:space="0" w:color="auto"/>
                <w:bottom w:val="none" w:sz="0" w:space="0" w:color="auto"/>
                <w:right w:val="none" w:sz="0" w:space="0" w:color="auto"/>
              </w:divBdr>
              <w:divsChild>
                <w:div w:id="950818791">
                  <w:marLeft w:val="0"/>
                  <w:marRight w:val="0"/>
                  <w:marTop w:val="0"/>
                  <w:marBottom w:val="0"/>
                  <w:divBdr>
                    <w:top w:val="none" w:sz="0" w:space="0" w:color="auto"/>
                    <w:left w:val="none" w:sz="0" w:space="0" w:color="auto"/>
                    <w:bottom w:val="none" w:sz="0" w:space="0" w:color="auto"/>
                    <w:right w:val="none" w:sz="0" w:space="0" w:color="auto"/>
                  </w:divBdr>
                  <w:divsChild>
                    <w:div w:id="974409441">
                      <w:marLeft w:val="0"/>
                      <w:marRight w:val="0"/>
                      <w:marTop w:val="0"/>
                      <w:marBottom w:val="0"/>
                      <w:divBdr>
                        <w:top w:val="none" w:sz="0" w:space="0" w:color="auto"/>
                        <w:left w:val="none" w:sz="0" w:space="0" w:color="auto"/>
                        <w:bottom w:val="none" w:sz="0" w:space="0" w:color="auto"/>
                        <w:right w:val="none" w:sz="0" w:space="0" w:color="auto"/>
                      </w:divBdr>
                      <w:divsChild>
                        <w:div w:id="290788251">
                          <w:marLeft w:val="0"/>
                          <w:marRight w:val="0"/>
                          <w:marTop w:val="0"/>
                          <w:marBottom w:val="0"/>
                          <w:divBdr>
                            <w:top w:val="none" w:sz="0" w:space="0" w:color="auto"/>
                            <w:left w:val="none" w:sz="0" w:space="0" w:color="auto"/>
                            <w:bottom w:val="none" w:sz="0" w:space="0" w:color="auto"/>
                            <w:right w:val="none" w:sz="0" w:space="0" w:color="auto"/>
                          </w:divBdr>
                          <w:divsChild>
                            <w:div w:id="344748247">
                              <w:marLeft w:val="0"/>
                              <w:marRight w:val="0"/>
                              <w:marTop w:val="0"/>
                              <w:marBottom w:val="0"/>
                              <w:divBdr>
                                <w:top w:val="none" w:sz="0" w:space="0" w:color="auto"/>
                                <w:left w:val="none" w:sz="0" w:space="0" w:color="auto"/>
                                <w:bottom w:val="none" w:sz="0" w:space="0" w:color="auto"/>
                                <w:right w:val="none" w:sz="0" w:space="0" w:color="auto"/>
                              </w:divBdr>
                              <w:divsChild>
                                <w:div w:id="2030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269098">
      <w:bodyDiv w:val="1"/>
      <w:marLeft w:val="0"/>
      <w:marRight w:val="0"/>
      <w:marTop w:val="0"/>
      <w:marBottom w:val="0"/>
      <w:divBdr>
        <w:top w:val="none" w:sz="0" w:space="0" w:color="auto"/>
        <w:left w:val="none" w:sz="0" w:space="0" w:color="auto"/>
        <w:bottom w:val="none" w:sz="0" w:space="0" w:color="auto"/>
        <w:right w:val="none" w:sz="0" w:space="0" w:color="auto"/>
      </w:divBdr>
    </w:div>
    <w:div w:id="1966546466">
      <w:bodyDiv w:val="1"/>
      <w:marLeft w:val="0"/>
      <w:marRight w:val="0"/>
      <w:marTop w:val="0"/>
      <w:marBottom w:val="0"/>
      <w:divBdr>
        <w:top w:val="none" w:sz="0" w:space="0" w:color="auto"/>
        <w:left w:val="none" w:sz="0" w:space="0" w:color="auto"/>
        <w:bottom w:val="none" w:sz="0" w:space="0" w:color="auto"/>
        <w:right w:val="none" w:sz="0" w:space="0" w:color="auto"/>
      </w:divBdr>
    </w:div>
    <w:div w:id="2126658609">
      <w:bodyDiv w:val="1"/>
      <w:marLeft w:val="0"/>
      <w:marRight w:val="0"/>
      <w:marTop w:val="0"/>
      <w:marBottom w:val="0"/>
      <w:divBdr>
        <w:top w:val="none" w:sz="0" w:space="0" w:color="auto"/>
        <w:left w:val="none" w:sz="0" w:space="0" w:color="auto"/>
        <w:bottom w:val="none" w:sz="0" w:space="0" w:color="auto"/>
        <w:right w:val="none" w:sz="0" w:space="0" w:color="auto"/>
      </w:divBdr>
      <w:divsChild>
        <w:div w:id="32313562">
          <w:marLeft w:val="0"/>
          <w:marRight w:val="0"/>
          <w:marTop w:val="0"/>
          <w:marBottom w:val="0"/>
          <w:divBdr>
            <w:top w:val="none" w:sz="0" w:space="0" w:color="auto"/>
            <w:left w:val="none" w:sz="0" w:space="0" w:color="auto"/>
            <w:bottom w:val="none" w:sz="0" w:space="0" w:color="auto"/>
            <w:right w:val="none" w:sz="0" w:space="0" w:color="auto"/>
          </w:divBdr>
          <w:divsChild>
            <w:div w:id="1189754370">
              <w:marLeft w:val="0"/>
              <w:marRight w:val="0"/>
              <w:marTop w:val="0"/>
              <w:marBottom w:val="0"/>
              <w:divBdr>
                <w:top w:val="none" w:sz="0" w:space="0" w:color="auto"/>
                <w:left w:val="none" w:sz="0" w:space="0" w:color="auto"/>
                <w:bottom w:val="none" w:sz="0" w:space="0" w:color="auto"/>
                <w:right w:val="none" w:sz="0" w:space="0" w:color="auto"/>
              </w:divBdr>
              <w:divsChild>
                <w:div w:id="1180894927">
                  <w:marLeft w:val="0"/>
                  <w:marRight w:val="0"/>
                  <w:marTop w:val="0"/>
                  <w:marBottom w:val="0"/>
                  <w:divBdr>
                    <w:top w:val="none" w:sz="0" w:space="12" w:color="auto"/>
                    <w:left w:val="none" w:sz="0" w:space="12" w:color="auto"/>
                    <w:bottom w:val="none" w:sz="0" w:space="12" w:color="auto"/>
                    <w:right w:val="none" w:sz="0" w:space="12" w:color="auto"/>
                  </w:divBdr>
                  <w:divsChild>
                    <w:div w:id="959186276">
                      <w:marLeft w:val="0"/>
                      <w:marRight w:val="0"/>
                      <w:marTop w:val="0"/>
                      <w:marBottom w:val="0"/>
                      <w:divBdr>
                        <w:top w:val="none" w:sz="0" w:space="12" w:color="auto"/>
                        <w:left w:val="none" w:sz="0" w:space="12" w:color="auto"/>
                        <w:bottom w:val="none" w:sz="0" w:space="12" w:color="auto"/>
                        <w:right w:val="none" w:sz="0" w:space="12" w:color="auto"/>
                      </w:divBdr>
                      <w:divsChild>
                        <w:div w:id="2033023296">
                          <w:marLeft w:val="0"/>
                          <w:marRight w:val="0"/>
                          <w:marTop w:val="0"/>
                          <w:marBottom w:val="0"/>
                          <w:divBdr>
                            <w:top w:val="none" w:sz="0" w:space="0" w:color="auto"/>
                            <w:left w:val="none" w:sz="0" w:space="0" w:color="auto"/>
                            <w:bottom w:val="none" w:sz="0" w:space="0" w:color="auto"/>
                            <w:right w:val="none" w:sz="0" w:space="0" w:color="auto"/>
                          </w:divBdr>
                          <w:divsChild>
                            <w:div w:id="1735010346">
                              <w:marLeft w:val="-225"/>
                              <w:marRight w:val="-225"/>
                              <w:marTop w:val="0"/>
                              <w:marBottom w:val="0"/>
                              <w:divBdr>
                                <w:top w:val="none" w:sz="0" w:space="0" w:color="auto"/>
                                <w:left w:val="none" w:sz="0" w:space="0" w:color="auto"/>
                                <w:bottom w:val="none" w:sz="0" w:space="0" w:color="auto"/>
                                <w:right w:val="none" w:sz="0" w:space="0" w:color="auto"/>
                              </w:divBdr>
                              <w:divsChild>
                                <w:div w:id="182405104">
                                  <w:marLeft w:val="0"/>
                                  <w:marRight w:val="0"/>
                                  <w:marTop w:val="0"/>
                                  <w:marBottom w:val="0"/>
                                  <w:divBdr>
                                    <w:top w:val="none" w:sz="0" w:space="0" w:color="auto"/>
                                    <w:left w:val="none" w:sz="0" w:space="0" w:color="auto"/>
                                    <w:bottom w:val="none" w:sz="0" w:space="0" w:color="auto"/>
                                    <w:right w:val="none" w:sz="0" w:space="0" w:color="auto"/>
                                  </w:divBdr>
                                  <w:divsChild>
                                    <w:div w:id="1836257868">
                                      <w:marLeft w:val="0"/>
                                      <w:marRight w:val="0"/>
                                      <w:marTop w:val="0"/>
                                      <w:marBottom w:val="0"/>
                                      <w:divBdr>
                                        <w:top w:val="none" w:sz="0" w:space="0" w:color="auto"/>
                                        <w:left w:val="none" w:sz="0" w:space="0" w:color="auto"/>
                                        <w:bottom w:val="none" w:sz="0" w:space="0" w:color="auto"/>
                                        <w:right w:val="none" w:sz="0" w:space="0" w:color="auto"/>
                                      </w:divBdr>
                                      <w:divsChild>
                                        <w:div w:id="788091041">
                                          <w:marLeft w:val="-225"/>
                                          <w:marRight w:val="-225"/>
                                          <w:marTop w:val="0"/>
                                          <w:marBottom w:val="0"/>
                                          <w:divBdr>
                                            <w:top w:val="none" w:sz="0" w:space="0" w:color="auto"/>
                                            <w:left w:val="none" w:sz="0" w:space="0" w:color="auto"/>
                                            <w:bottom w:val="none" w:sz="0" w:space="0" w:color="auto"/>
                                            <w:right w:val="none" w:sz="0" w:space="0" w:color="auto"/>
                                          </w:divBdr>
                                          <w:divsChild>
                                            <w:div w:id="897203052">
                                              <w:marLeft w:val="0"/>
                                              <w:marRight w:val="0"/>
                                              <w:marTop w:val="0"/>
                                              <w:marBottom w:val="0"/>
                                              <w:divBdr>
                                                <w:top w:val="none" w:sz="0" w:space="0" w:color="auto"/>
                                                <w:left w:val="none" w:sz="0" w:space="0" w:color="auto"/>
                                                <w:bottom w:val="none" w:sz="0" w:space="0" w:color="auto"/>
                                                <w:right w:val="none" w:sz="0" w:space="0" w:color="auto"/>
                                              </w:divBdr>
                                            </w:div>
                                          </w:divsChild>
                                        </w:div>
                                        <w:div w:id="1565870029">
                                          <w:marLeft w:val="-225"/>
                                          <w:marRight w:val="-225"/>
                                          <w:marTop w:val="0"/>
                                          <w:marBottom w:val="0"/>
                                          <w:divBdr>
                                            <w:top w:val="none" w:sz="0" w:space="0" w:color="auto"/>
                                            <w:left w:val="none" w:sz="0" w:space="0" w:color="auto"/>
                                            <w:bottom w:val="none" w:sz="0" w:space="0" w:color="auto"/>
                                            <w:right w:val="none" w:sz="0" w:space="0" w:color="auto"/>
                                          </w:divBdr>
                                          <w:divsChild>
                                            <w:div w:id="1264414173">
                                              <w:marLeft w:val="0"/>
                                              <w:marRight w:val="0"/>
                                              <w:marTop w:val="0"/>
                                              <w:marBottom w:val="0"/>
                                              <w:divBdr>
                                                <w:top w:val="none" w:sz="0" w:space="0" w:color="auto"/>
                                                <w:left w:val="none" w:sz="0" w:space="0" w:color="auto"/>
                                                <w:bottom w:val="none" w:sz="0" w:space="0" w:color="auto"/>
                                                <w:right w:val="none" w:sz="0" w:space="0" w:color="auto"/>
                                              </w:divBdr>
                                            </w:div>
                                          </w:divsChild>
                                        </w:div>
                                        <w:div w:id="74206983">
                                          <w:marLeft w:val="0"/>
                                          <w:marRight w:val="0"/>
                                          <w:marTop w:val="0"/>
                                          <w:marBottom w:val="0"/>
                                          <w:divBdr>
                                            <w:top w:val="none" w:sz="0" w:space="0" w:color="auto"/>
                                            <w:left w:val="none" w:sz="0" w:space="0" w:color="auto"/>
                                            <w:bottom w:val="none" w:sz="0" w:space="0" w:color="auto"/>
                                            <w:right w:val="none" w:sz="0" w:space="0" w:color="auto"/>
                                          </w:divBdr>
                                          <w:divsChild>
                                            <w:div w:id="230386878">
                                              <w:marLeft w:val="0"/>
                                              <w:marRight w:val="0"/>
                                              <w:marTop w:val="0"/>
                                              <w:marBottom w:val="0"/>
                                              <w:divBdr>
                                                <w:top w:val="none" w:sz="0" w:space="0" w:color="auto"/>
                                                <w:left w:val="none" w:sz="0" w:space="0" w:color="auto"/>
                                                <w:bottom w:val="none" w:sz="0" w:space="0" w:color="auto"/>
                                                <w:right w:val="none" w:sz="0" w:space="0" w:color="auto"/>
                                              </w:divBdr>
                                            </w:div>
                                            <w:div w:id="1309818712">
                                              <w:marLeft w:val="0"/>
                                              <w:marRight w:val="0"/>
                                              <w:marTop w:val="0"/>
                                              <w:marBottom w:val="0"/>
                                              <w:divBdr>
                                                <w:top w:val="none" w:sz="0" w:space="0" w:color="auto"/>
                                                <w:left w:val="none" w:sz="0" w:space="0" w:color="auto"/>
                                                <w:bottom w:val="none" w:sz="0" w:space="0" w:color="auto"/>
                                                <w:right w:val="none" w:sz="0" w:space="0" w:color="auto"/>
                                              </w:divBdr>
                                            </w:div>
                                            <w:div w:id="562762251">
                                              <w:marLeft w:val="0"/>
                                              <w:marRight w:val="0"/>
                                              <w:marTop w:val="0"/>
                                              <w:marBottom w:val="0"/>
                                              <w:divBdr>
                                                <w:top w:val="none" w:sz="0" w:space="0" w:color="auto"/>
                                                <w:left w:val="none" w:sz="0" w:space="0" w:color="auto"/>
                                                <w:bottom w:val="none" w:sz="0" w:space="0" w:color="auto"/>
                                                <w:right w:val="none" w:sz="0" w:space="0" w:color="auto"/>
                                              </w:divBdr>
                                            </w:div>
                                            <w:div w:id="860046223">
                                              <w:marLeft w:val="0"/>
                                              <w:marRight w:val="0"/>
                                              <w:marTop w:val="0"/>
                                              <w:marBottom w:val="0"/>
                                              <w:divBdr>
                                                <w:top w:val="none" w:sz="0" w:space="0" w:color="auto"/>
                                                <w:left w:val="none" w:sz="0" w:space="0" w:color="auto"/>
                                                <w:bottom w:val="none" w:sz="0" w:space="0" w:color="auto"/>
                                                <w:right w:val="none" w:sz="0" w:space="0" w:color="auto"/>
                                              </w:divBdr>
                                            </w:div>
                                            <w:div w:id="1308779988">
                                              <w:marLeft w:val="0"/>
                                              <w:marRight w:val="0"/>
                                              <w:marTop w:val="0"/>
                                              <w:marBottom w:val="0"/>
                                              <w:divBdr>
                                                <w:top w:val="none" w:sz="0" w:space="0" w:color="auto"/>
                                                <w:left w:val="none" w:sz="0" w:space="0" w:color="auto"/>
                                                <w:bottom w:val="none" w:sz="0" w:space="0" w:color="auto"/>
                                                <w:right w:val="none" w:sz="0" w:space="0" w:color="auto"/>
                                              </w:divBdr>
                                            </w:div>
                                            <w:div w:id="2029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compliance.attask-ondemand.com/login" TargetMode="External"/><Relationship Id="rId13" Type="http://schemas.openxmlformats.org/officeDocument/2006/relationships/hyperlink" Target="https://www.federalregister.gov/documents/2017/02/08/2017-01713/alternative-capital" TargetMode="External"/><Relationship Id="rId18" Type="http://schemas.openxmlformats.org/officeDocument/2006/relationships/hyperlink" Target="https://nwcompliance.org/mla-website-error/" TargetMode="External"/><Relationship Id="rId26" Type="http://schemas.openxmlformats.org/officeDocument/2006/relationships/hyperlink" Target="https://olis.leg.state.or.us/liz/2017R1/Measures/Overview/HB2622?pubDate=2017-02-27-10-55" TargetMode="External"/><Relationship Id="rId3" Type="http://schemas.openxmlformats.org/officeDocument/2006/relationships/settings" Target="settings.xml"/><Relationship Id="rId21" Type="http://schemas.openxmlformats.org/officeDocument/2006/relationships/hyperlink" Target="https://nwcompliance.org/fdics-money-smart-alliance-program/" TargetMode="External"/><Relationship Id="rId34" Type="http://schemas.openxmlformats.org/officeDocument/2006/relationships/footer" Target="footer1.xml"/><Relationship Id="rId7" Type="http://schemas.openxmlformats.org/officeDocument/2006/relationships/hyperlink" Target="http://www.nwcompliance.org" TargetMode="External"/><Relationship Id="rId12" Type="http://schemas.openxmlformats.org/officeDocument/2006/relationships/hyperlink" Target="https://nwcompliance.org/anpr-alternative-capital/" TargetMode="External"/><Relationship Id="rId17" Type="http://schemas.openxmlformats.org/officeDocument/2006/relationships/hyperlink" Target="https://nwcompliance.org/cfpbs-alternative-data-request-information/" TargetMode="External"/><Relationship Id="rId25" Type="http://schemas.openxmlformats.org/officeDocument/2006/relationships/hyperlink" Target="https://olis.leg.state.or.us/liz/2017R1/Measures/Overview/HB2624?pubDate=2017-02-27-08-36"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wcompliance.org/wa-bulletin-b-17-04-exam-focus-consumer-protection-compliance/" TargetMode="External"/><Relationship Id="rId20" Type="http://schemas.openxmlformats.org/officeDocument/2006/relationships/hyperlink" Target="https://nwcompliance.org/compressed-version-sdn-xml-file-now-available/" TargetMode="External"/><Relationship Id="rId29" Type="http://schemas.openxmlformats.org/officeDocument/2006/relationships/hyperlink" Target="https://olis.leg.state.or.us/liz/2017R1/Measures/Overview/SB113?pubDate=2017-03-02-11-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gister.gov/documents/2017/02/02/2017-02235/proposed-collection-comment-request-update-and-revision-of-the-fincen-suspicious-activity-reports" TargetMode="External"/><Relationship Id="rId24" Type="http://schemas.openxmlformats.org/officeDocument/2006/relationships/hyperlink" Target="https://olis.leg.state.or.us/liz/2017R1/Measures/Overview/HB2359?pubDate=2017-02-27-08-36" TargetMode="External"/><Relationship Id="rId32" Type="http://schemas.openxmlformats.org/officeDocument/2006/relationships/hyperlink" Target="http://app.leg.wa.gov/billsummary?BillNumber=1318&amp;Year=2017" TargetMode="External"/><Relationship Id="rId5" Type="http://schemas.openxmlformats.org/officeDocument/2006/relationships/footnotes" Target="footnotes.xml"/><Relationship Id="rId15" Type="http://schemas.openxmlformats.org/officeDocument/2006/relationships/hyperlink" Target="https://www.ftc.gov/news-events/blogs/business-blog/2017/03/want-stop-phishers-use-email-authentication?utm_source=govdelivery" TargetMode="External"/><Relationship Id="rId23" Type="http://schemas.openxmlformats.org/officeDocument/2006/relationships/hyperlink" Target="https://olis.leg.state.or.us/liz/2017R1/Measures/Overview/HB2161" TargetMode="External"/><Relationship Id="rId28" Type="http://schemas.openxmlformats.org/officeDocument/2006/relationships/hyperlink" Target="https://olis.leg.state.or.us/liz/2017R1/Measures/Overview/HB2346?pubDate=2017-02-22-09-10" TargetMode="External"/><Relationship Id="rId36" Type="http://schemas.openxmlformats.org/officeDocument/2006/relationships/theme" Target="theme/theme1.xml"/><Relationship Id="rId10" Type="http://schemas.openxmlformats.org/officeDocument/2006/relationships/hyperlink" Target="https://nwcompliance.org/proposed-sar-changes/" TargetMode="External"/><Relationship Id="rId19" Type="http://schemas.openxmlformats.org/officeDocument/2006/relationships/hyperlink" Target="https://nwcompliance.org/bad-reviews-let-stay/" TargetMode="External"/><Relationship Id="rId31" Type="http://schemas.openxmlformats.org/officeDocument/2006/relationships/hyperlink" Target="http://app.leg.wa.gov/billsummary?BillNumber=1209&amp;Year=2017"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consumer.ftc.gov/blog/top-frauds-2016?utm_source=govdelivery" TargetMode="External"/><Relationship Id="rId22" Type="http://schemas.openxmlformats.org/officeDocument/2006/relationships/hyperlink" Target="https://nwcompliance.org/contaminated-currency/" TargetMode="External"/><Relationship Id="rId27" Type="http://schemas.openxmlformats.org/officeDocument/2006/relationships/hyperlink" Target="https://olis.leg.state.or.us/liz/2017R1/Measures/Overview/HB2229?pubDate=2017-02-27-16-59" TargetMode="External"/><Relationship Id="rId30" Type="http://schemas.openxmlformats.org/officeDocument/2006/relationships/hyperlink" Target="https://olis.leg.state.or.us/liz/2017R1/Measures/Overview/SB254?pubDate=2017-03-02-11-25"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5</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NW Compliance Group</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McKinney</dc:creator>
  <cp:lastModifiedBy>Jim McKinney</cp:lastModifiedBy>
  <cp:revision>7</cp:revision>
  <cp:lastPrinted>2016-12-27T17:43:00Z</cp:lastPrinted>
  <dcterms:created xsi:type="dcterms:W3CDTF">2017-03-01T18:52:00Z</dcterms:created>
  <dcterms:modified xsi:type="dcterms:W3CDTF">2017-03-05T17:06:00Z</dcterms:modified>
</cp:coreProperties>
</file>