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CF" w:rsidRDefault="009E1BCF" w:rsidP="007B2E65">
      <w:pPr>
        <w:spacing w:after="0"/>
        <w:rPr>
          <w:b/>
          <w:sz w:val="28"/>
          <w:szCs w:val="28"/>
        </w:rPr>
      </w:pPr>
    </w:p>
    <w:p w:rsidR="004670B2" w:rsidRPr="00967605" w:rsidRDefault="004670B2" w:rsidP="007B2E65">
      <w:pPr>
        <w:spacing w:after="0"/>
        <w:rPr>
          <w:sz w:val="28"/>
          <w:szCs w:val="28"/>
        </w:rPr>
      </w:pPr>
      <w:r w:rsidRPr="00967605">
        <w:rPr>
          <w:b/>
          <w:sz w:val="28"/>
          <w:szCs w:val="28"/>
        </w:rPr>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4104"/>
        <w:gridCol w:w="4104"/>
      </w:tblGrid>
      <w:tr w:rsidR="00AC6A22" w:rsidTr="00AC6A22">
        <w:tc>
          <w:tcPr>
            <w:tcW w:w="1278" w:type="dxa"/>
            <w:tcBorders>
              <w:top w:val="nil"/>
              <w:left w:val="nil"/>
              <w:right w:val="nil"/>
            </w:tcBorders>
          </w:tcPr>
          <w:p w:rsidR="00AC6A22" w:rsidRDefault="00AC6A22" w:rsidP="00413996">
            <w:pPr>
              <w:rPr>
                <w:b/>
              </w:rPr>
            </w:pPr>
            <w:r>
              <w:rPr>
                <w:b/>
              </w:rPr>
              <w:t>Effective Date</w:t>
            </w:r>
          </w:p>
        </w:tc>
        <w:tc>
          <w:tcPr>
            <w:tcW w:w="2250" w:type="dxa"/>
            <w:tcBorders>
              <w:top w:val="nil"/>
              <w:left w:val="nil"/>
              <w:right w:val="nil"/>
            </w:tcBorders>
          </w:tcPr>
          <w:p w:rsidR="00AC6A22" w:rsidRDefault="00AC6A22" w:rsidP="00413996">
            <w:pPr>
              <w:rPr>
                <w:b/>
              </w:rPr>
            </w:pPr>
            <w:r>
              <w:rPr>
                <w:b/>
              </w:rPr>
              <w:t>Regulation</w:t>
            </w:r>
          </w:p>
        </w:tc>
        <w:tc>
          <w:tcPr>
            <w:tcW w:w="1440" w:type="dxa"/>
            <w:tcBorders>
              <w:top w:val="nil"/>
              <w:left w:val="nil"/>
              <w:right w:val="nil"/>
            </w:tcBorders>
          </w:tcPr>
          <w:p w:rsidR="00AC6A22" w:rsidRDefault="00AC6A22" w:rsidP="00413996">
            <w:pPr>
              <w:rPr>
                <w:b/>
              </w:rPr>
            </w:pPr>
            <w:r>
              <w:rPr>
                <w:b/>
              </w:rPr>
              <w:t>Citation</w:t>
            </w:r>
          </w:p>
        </w:tc>
        <w:tc>
          <w:tcPr>
            <w:tcW w:w="8208" w:type="dxa"/>
            <w:gridSpan w:val="2"/>
            <w:tcBorders>
              <w:top w:val="nil"/>
              <w:left w:val="nil"/>
              <w:right w:val="nil"/>
            </w:tcBorders>
          </w:tcPr>
          <w:p w:rsidR="00AC6A22" w:rsidRDefault="00AC6A22" w:rsidP="00413996">
            <w:pPr>
              <w:rPr>
                <w:b/>
              </w:rPr>
            </w:pPr>
            <w:r>
              <w:rPr>
                <w:b/>
              </w:rPr>
              <w:t>Summary</w:t>
            </w:r>
          </w:p>
        </w:tc>
      </w:tr>
      <w:tr w:rsidR="00B532FB" w:rsidRPr="00967605" w:rsidTr="00AC6A22">
        <w:tc>
          <w:tcPr>
            <w:tcW w:w="1278" w:type="dxa"/>
          </w:tcPr>
          <w:p w:rsidR="00630DEC" w:rsidRDefault="00443C0F" w:rsidP="00413996">
            <w:r>
              <w:t>01/01/2017</w:t>
            </w:r>
          </w:p>
        </w:tc>
        <w:tc>
          <w:tcPr>
            <w:tcW w:w="2250" w:type="dxa"/>
          </w:tcPr>
          <w:p w:rsidR="00B532FB" w:rsidRDefault="00443C0F" w:rsidP="000C6F62">
            <w:r>
              <w:t>Regulation C (HMDA)</w:t>
            </w:r>
          </w:p>
        </w:tc>
        <w:tc>
          <w:tcPr>
            <w:tcW w:w="1440" w:type="dxa"/>
          </w:tcPr>
          <w:p w:rsidR="00B532FB" w:rsidRDefault="001F2A05" w:rsidP="006E10DB">
            <w:pPr>
              <w:spacing w:after="120"/>
            </w:pPr>
            <w:hyperlink r:id="rId7" w:history="1">
              <w:r w:rsidR="00443C0F" w:rsidRPr="00443C0F">
                <w:rPr>
                  <w:rStyle w:val="Hyperlink"/>
                </w:rPr>
                <w:t>81 FR 93580</w:t>
              </w:r>
            </w:hyperlink>
          </w:p>
        </w:tc>
        <w:tc>
          <w:tcPr>
            <w:tcW w:w="8208" w:type="dxa"/>
            <w:gridSpan w:val="2"/>
          </w:tcPr>
          <w:p w:rsidR="00630DEC" w:rsidRDefault="00933EB4" w:rsidP="000F5081">
            <w:r>
              <w:t xml:space="preserve"> </w:t>
            </w:r>
            <w:r w:rsidR="00443C0F">
              <w:t xml:space="preserve">Asset threshold unchanged at $44 million for 2017.  If the credit union has assets of less than $44 million as of 12/31/2016, it is exempt from data collection and reporting requirements for 2017.  </w:t>
            </w:r>
          </w:p>
        </w:tc>
      </w:tr>
      <w:tr w:rsidR="007A4A48" w:rsidRPr="00967605" w:rsidTr="00AC6A22">
        <w:tc>
          <w:tcPr>
            <w:tcW w:w="1278" w:type="dxa"/>
          </w:tcPr>
          <w:p w:rsidR="007A4A48" w:rsidRDefault="00443C0F" w:rsidP="00413996">
            <w:r>
              <w:t>01/01/2017</w:t>
            </w:r>
          </w:p>
        </w:tc>
        <w:tc>
          <w:tcPr>
            <w:tcW w:w="2250" w:type="dxa"/>
          </w:tcPr>
          <w:p w:rsidR="007A4A48" w:rsidRDefault="00443C0F" w:rsidP="000C6F62">
            <w:r>
              <w:t>Regulation Z (TILA)</w:t>
            </w:r>
          </w:p>
        </w:tc>
        <w:tc>
          <w:tcPr>
            <w:tcW w:w="1440" w:type="dxa"/>
          </w:tcPr>
          <w:p w:rsidR="007A4A48" w:rsidRDefault="001F2A05" w:rsidP="006E10DB">
            <w:pPr>
              <w:spacing w:after="120"/>
            </w:pPr>
            <w:hyperlink r:id="rId8" w:history="1">
              <w:r w:rsidR="00217B65" w:rsidRPr="00217B65">
                <w:rPr>
                  <w:rStyle w:val="Hyperlink"/>
                </w:rPr>
                <w:t>81 FR 93581</w:t>
              </w:r>
            </w:hyperlink>
          </w:p>
        </w:tc>
        <w:tc>
          <w:tcPr>
            <w:tcW w:w="8208" w:type="dxa"/>
            <w:gridSpan w:val="2"/>
          </w:tcPr>
          <w:p w:rsidR="007A4A48" w:rsidRPr="002B082F" w:rsidRDefault="00217B65" w:rsidP="007A4A48">
            <w:r>
              <w:t>Credit unions with assets less than $2.069 billion (including assets of certain affiliates) as of 12/31/2016 are exempt, if other requirements of Regulation Z are also met, from establishing escrow accounts for HPMLs in 2017.</w:t>
            </w:r>
          </w:p>
        </w:tc>
      </w:tr>
      <w:tr w:rsidR="000F5081" w:rsidRPr="00967605" w:rsidTr="00AC6A22">
        <w:tc>
          <w:tcPr>
            <w:tcW w:w="1278" w:type="dxa"/>
          </w:tcPr>
          <w:p w:rsidR="000F5081" w:rsidRDefault="00217B65" w:rsidP="00413996">
            <w:r>
              <w:t>01/01/2017</w:t>
            </w:r>
          </w:p>
        </w:tc>
        <w:tc>
          <w:tcPr>
            <w:tcW w:w="2250" w:type="dxa"/>
          </w:tcPr>
          <w:p w:rsidR="000F5081" w:rsidRDefault="00217B65" w:rsidP="000C6F62">
            <w:r>
              <w:t>Regulation Z (TILA)</w:t>
            </w:r>
          </w:p>
        </w:tc>
        <w:tc>
          <w:tcPr>
            <w:tcW w:w="1440" w:type="dxa"/>
          </w:tcPr>
          <w:p w:rsidR="000F5081" w:rsidRDefault="001F2A05" w:rsidP="006E10DB">
            <w:pPr>
              <w:spacing w:after="120"/>
            </w:pPr>
            <w:hyperlink r:id="rId9" w:history="1">
              <w:r w:rsidR="00217B65" w:rsidRPr="00217B65">
                <w:rPr>
                  <w:rStyle w:val="Hyperlink"/>
                </w:rPr>
                <w:t>81 FR 86250</w:t>
              </w:r>
            </w:hyperlink>
          </w:p>
        </w:tc>
        <w:tc>
          <w:tcPr>
            <w:tcW w:w="8208" w:type="dxa"/>
            <w:gridSpan w:val="2"/>
          </w:tcPr>
          <w:p w:rsidR="000F5081" w:rsidRDefault="00217B65" w:rsidP="007A4A48">
            <w:r>
              <w:t xml:space="preserve">The exemption for appraisals for HPMLs for 2017 remains the same at $25,000 or less. </w:t>
            </w:r>
          </w:p>
        </w:tc>
      </w:tr>
      <w:tr w:rsidR="00780EB2" w:rsidRPr="00967605" w:rsidTr="00AC6A22">
        <w:tc>
          <w:tcPr>
            <w:tcW w:w="1278" w:type="dxa"/>
          </w:tcPr>
          <w:p w:rsidR="00780EB2" w:rsidRDefault="00217B65" w:rsidP="00413996">
            <w:r>
              <w:t>01/01/2017</w:t>
            </w:r>
          </w:p>
        </w:tc>
        <w:tc>
          <w:tcPr>
            <w:tcW w:w="2250" w:type="dxa"/>
          </w:tcPr>
          <w:p w:rsidR="00780EB2" w:rsidRDefault="00217B65" w:rsidP="000C6F62">
            <w:r>
              <w:t>Regulation Z (TILA)</w:t>
            </w:r>
          </w:p>
        </w:tc>
        <w:tc>
          <w:tcPr>
            <w:tcW w:w="1440" w:type="dxa"/>
          </w:tcPr>
          <w:p w:rsidR="00780EB2" w:rsidRDefault="001F2A05" w:rsidP="006E10DB">
            <w:pPr>
              <w:spacing w:after="120"/>
            </w:pPr>
            <w:hyperlink r:id="rId10" w:history="1">
              <w:r w:rsidR="00217B65" w:rsidRPr="00413996">
                <w:rPr>
                  <w:rStyle w:val="Hyperlink"/>
                </w:rPr>
                <w:t>81 FR 86260</w:t>
              </w:r>
            </w:hyperlink>
          </w:p>
        </w:tc>
        <w:tc>
          <w:tcPr>
            <w:tcW w:w="8208" w:type="dxa"/>
            <w:gridSpan w:val="2"/>
          </w:tcPr>
          <w:p w:rsidR="00780EB2" w:rsidRPr="000F5081" w:rsidRDefault="00217B65" w:rsidP="007A4A48">
            <w:r>
              <w:t xml:space="preserve">The exemption threshold for exempt consumer credit transactions remains the same at $54,600.  </w:t>
            </w:r>
          </w:p>
        </w:tc>
      </w:tr>
      <w:tr w:rsidR="004E02B2" w:rsidRPr="00967605" w:rsidTr="00AC6A22">
        <w:tc>
          <w:tcPr>
            <w:tcW w:w="1278" w:type="dxa"/>
          </w:tcPr>
          <w:p w:rsidR="000F5081" w:rsidRDefault="00413996" w:rsidP="00413996">
            <w:r>
              <w:t>12/27/</w:t>
            </w:r>
            <w:r w:rsidR="006B6D03">
              <w:t>20</w:t>
            </w:r>
            <w:r>
              <w:t>16</w:t>
            </w:r>
          </w:p>
        </w:tc>
        <w:tc>
          <w:tcPr>
            <w:tcW w:w="2250" w:type="dxa"/>
          </w:tcPr>
          <w:p w:rsidR="004E02B2" w:rsidRDefault="00413996" w:rsidP="000C6F62">
            <w:r>
              <w:t>Community Development Revolving Loan Fund Access for Credit Unions</w:t>
            </w:r>
          </w:p>
        </w:tc>
        <w:tc>
          <w:tcPr>
            <w:tcW w:w="1440" w:type="dxa"/>
          </w:tcPr>
          <w:p w:rsidR="004E02B2" w:rsidRDefault="001F2A05" w:rsidP="006E10DB">
            <w:pPr>
              <w:spacing w:after="120"/>
            </w:pPr>
            <w:hyperlink r:id="rId11" w:history="1">
              <w:r w:rsidR="00413996" w:rsidRPr="00413996">
                <w:rPr>
                  <w:rStyle w:val="Hyperlink"/>
                </w:rPr>
                <w:t>81 FR 85110</w:t>
              </w:r>
            </w:hyperlink>
          </w:p>
        </w:tc>
        <w:tc>
          <w:tcPr>
            <w:tcW w:w="8208" w:type="dxa"/>
            <w:gridSpan w:val="2"/>
          </w:tcPr>
          <w:p w:rsidR="004E02B2" w:rsidRDefault="00413996" w:rsidP="007A4A48">
            <w:r>
              <w:t xml:space="preserve">Removes the $300,000 aggregate loan limit for credit unions.  </w:t>
            </w:r>
          </w:p>
        </w:tc>
      </w:tr>
      <w:tr w:rsidR="00933EB4" w:rsidRPr="00967605" w:rsidTr="00AC6A22">
        <w:tc>
          <w:tcPr>
            <w:tcW w:w="1278" w:type="dxa"/>
          </w:tcPr>
          <w:p w:rsidR="00933EB4" w:rsidRDefault="006B6D03" w:rsidP="00413996">
            <w:r>
              <w:t>02/06/2017</w:t>
            </w:r>
          </w:p>
        </w:tc>
        <w:tc>
          <w:tcPr>
            <w:tcW w:w="2250" w:type="dxa"/>
          </w:tcPr>
          <w:p w:rsidR="00933EB4" w:rsidRDefault="006B6D03" w:rsidP="000C6F62">
            <w:r>
              <w:t>NCUA Chartering and Field of Membership Manual</w:t>
            </w:r>
          </w:p>
        </w:tc>
        <w:tc>
          <w:tcPr>
            <w:tcW w:w="1440" w:type="dxa"/>
          </w:tcPr>
          <w:p w:rsidR="00933EB4" w:rsidRDefault="001F2A05" w:rsidP="006E10DB">
            <w:pPr>
              <w:spacing w:after="120"/>
            </w:pPr>
            <w:hyperlink r:id="rId12" w:history="1">
              <w:r w:rsidR="006B6D03" w:rsidRPr="006B6D03">
                <w:rPr>
                  <w:rStyle w:val="Hyperlink"/>
                </w:rPr>
                <w:t>81 FR 88412</w:t>
              </w:r>
            </w:hyperlink>
          </w:p>
        </w:tc>
        <w:tc>
          <w:tcPr>
            <w:tcW w:w="8208" w:type="dxa"/>
            <w:gridSpan w:val="2"/>
          </w:tcPr>
          <w:p w:rsidR="00933EB4" w:rsidRDefault="006B6D03" w:rsidP="007A4A48">
            <w:r w:rsidRPr="006B6D03">
              <w:t>The NCUA Board is comprehensively amending its chartering and field of membership rules to maximize access to federal credit union services to the extent permitted by law, and to organize the rules in a more efficient framework. The amendments will implement changes in policy affecting: The definition of a local community, a rural district, and an underserved area; the chartering and expansion of a multiple common bond credit union; the expansion of a single common bond credit union that serves a trade, industry or profession; and the process for applying to charter, or to expand, a federal credit union.</w:t>
            </w:r>
            <w:r>
              <w:t xml:space="preserve">  (The ABA has already sued the NCUA over this.)</w:t>
            </w:r>
          </w:p>
        </w:tc>
      </w:tr>
      <w:tr w:rsidR="00413996" w:rsidRPr="00967605" w:rsidTr="00AC6A22">
        <w:tc>
          <w:tcPr>
            <w:tcW w:w="1278" w:type="dxa"/>
          </w:tcPr>
          <w:p w:rsidR="00413996" w:rsidRDefault="003017B9" w:rsidP="00413996">
            <w:r>
              <w:t>TBD</w:t>
            </w:r>
          </w:p>
        </w:tc>
        <w:tc>
          <w:tcPr>
            <w:tcW w:w="2250" w:type="dxa"/>
          </w:tcPr>
          <w:p w:rsidR="00413996" w:rsidRDefault="001F2A05" w:rsidP="000C6F62">
            <w:hyperlink r:id="rId13" w:history="1">
              <w:r w:rsidR="006B6D03" w:rsidRPr="003017B9">
                <w:rPr>
                  <w:rStyle w:val="Hyperlink"/>
                </w:rPr>
                <w:t>Federal Credit Union Fixed Assets Rule (Occupancy)</w:t>
              </w:r>
            </w:hyperlink>
          </w:p>
        </w:tc>
        <w:tc>
          <w:tcPr>
            <w:tcW w:w="1440" w:type="dxa"/>
          </w:tcPr>
          <w:p w:rsidR="00413996" w:rsidRDefault="00413996" w:rsidP="006E10DB">
            <w:pPr>
              <w:spacing w:after="120"/>
            </w:pPr>
          </w:p>
        </w:tc>
        <w:tc>
          <w:tcPr>
            <w:tcW w:w="8208" w:type="dxa"/>
            <w:gridSpan w:val="2"/>
          </w:tcPr>
          <w:p w:rsidR="00413996" w:rsidRDefault="003017B9" w:rsidP="007A4A48">
            <w:r>
              <w:t xml:space="preserve">The NCUA amended the Fixed Assets Rule to eliminate the requirement that federal credit unions must plan for and achieve full occupancy of premises acquired for future expansion.  </w:t>
            </w:r>
            <w:r w:rsidR="00176BAE">
              <w:t>Oregon State CU’s must follow OAR 441-710-0270, and Washington State CU’s must follow RCW 31.12.438.</w:t>
            </w:r>
          </w:p>
        </w:tc>
      </w:tr>
      <w:tr w:rsidR="00BD479B" w:rsidRPr="00967605" w:rsidTr="00243AAF">
        <w:trPr>
          <w:trHeight w:val="54"/>
        </w:trPr>
        <w:tc>
          <w:tcPr>
            <w:tcW w:w="1278" w:type="dxa"/>
            <w:vMerge w:val="restart"/>
          </w:tcPr>
          <w:p w:rsidR="00BD479B" w:rsidRDefault="00BD479B" w:rsidP="00413996"/>
        </w:tc>
        <w:tc>
          <w:tcPr>
            <w:tcW w:w="2250" w:type="dxa"/>
            <w:vMerge w:val="restart"/>
          </w:tcPr>
          <w:p w:rsidR="00BD479B" w:rsidRDefault="00BD479B" w:rsidP="000C6F62">
            <w:r>
              <w:t>Regulation D</w:t>
            </w:r>
          </w:p>
        </w:tc>
        <w:tc>
          <w:tcPr>
            <w:tcW w:w="1440" w:type="dxa"/>
            <w:vMerge w:val="restart"/>
          </w:tcPr>
          <w:p w:rsidR="00BD479B" w:rsidRDefault="001F2A05" w:rsidP="006E10DB">
            <w:pPr>
              <w:spacing w:after="120"/>
            </w:pPr>
            <w:hyperlink r:id="rId14" w:history="1">
              <w:r w:rsidR="00BD479B" w:rsidRPr="00F026C4">
                <w:rPr>
                  <w:rStyle w:val="Hyperlink"/>
                </w:rPr>
                <w:t>81 FR 91672</w:t>
              </w:r>
            </w:hyperlink>
          </w:p>
        </w:tc>
        <w:tc>
          <w:tcPr>
            <w:tcW w:w="4104" w:type="dxa"/>
          </w:tcPr>
          <w:p w:rsidR="00BD479B" w:rsidRDefault="00BD479B" w:rsidP="00BD479B">
            <w:pPr>
              <w:jc w:val="center"/>
            </w:pPr>
            <w:r>
              <w:t>Reserve Liability</w:t>
            </w:r>
          </w:p>
        </w:tc>
        <w:tc>
          <w:tcPr>
            <w:tcW w:w="4104" w:type="dxa"/>
          </w:tcPr>
          <w:p w:rsidR="00BD479B" w:rsidRDefault="00BD479B" w:rsidP="00BD479B">
            <w:pPr>
              <w:jc w:val="center"/>
            </w:pPr>
            <w:r>
              <w:t>Reserve Requirement</w:t>
            </w:r>
          </w:p>
        </w:tc>
      </w:tr>
      <w:tr w:rsidR="00BD479B" w:rsidRPr="00967605" w:rsidTr="00243AAF">
        <w:trPr>
          <w:trHeight w:val="48"/>
        </w:trPr>
        <w:tc>
          <w:tcPr>
            <w:tcW w:w="1278" w:type="dxa"/>
            <w:vMerge/>
          </w:tcPr>
          <w:p w:rsidR="00BD479B" w:rsidRDefault="00BD479B" w:rsidP="00413996"/>
        </w:tc>
        <w:tc>
          <w:tcPr>
            <w:tcW w:w="2250" w:type="dxa"/>
            <w:vMerge/>
          </w:tcPr>
          <w:p w:rsidR="00BD479B" w:rsidRDefault="00BD479B" w:rsidP="000C6F62"/>
        </w:tc>
        <w:tc>
          <w:tcPr>
            <w:tcW w:w="1440" w:type="dxa"/>
            <w:vMerge/>
          </w:tcPr>
          <w:p w:rsidR="00BD479B" w:rsidRDefault="00BD479B" w:rsidP="006E10DB">
            <w:pPr>
              <w:spacing w:after="120"/>
            </w:pPr>
          </w:p>
        </w:tc>
        <w:tc>
          <w:tcPr>
            <w:tcW w:w="4104" w:type="dxa"/>
          </w:tcPr>
          <w:p w:rsidR="00BD479B" w:rsidRDefault="00BD479B" w:rsidP="007A4A48">
            <w:r>
              <w:t>Net Transaction Accounts</w:t>
            </w:r>
          </w:p>
        </w:tc>
        <w:tc>
          <w:tcPr>
            <w:tcW w:w="4104" w:type="dxa"/>
          </w:tcPr>
          <w:p w:rsidR="00BD479B" w:rsidRDefault="00BD479B" w:rsidP="007A4A48"/>
        </w:tc>
      </w:tr>
      <w:tr w:rsidR="00BD479B" w:rsidRPr="00967605" w:rsidTr="00243AAF">
        <w:trPr>
          <w:trHeight w:val="48"/>
        </w:trPr>
        <w:tc>
          <w:tcPr>
            <w:tcW w:w="1278" w:type="dxa"/>
            <w:vMerge/>
          </w:tcPr>
          <w:p w:rsidR="00BD479B" w:rsidRDefault="00BD479B" w:rsidP="00413996"/>
        </w:tc>
        <w:tc>
          <w:tcPr>
            <w:tcW w:w="2250" w:type="dxa"/>
            <w:vMerge/>
          </w:tcPr>
          <w:p w:rsidR="00BD479B" w:rsidRDefault="00BD479B" w:rsidP="000C6F62"/>
        </w:tc>
        <w:tc>
          <w:tcPr>
            <w:tcW w:w="1440" w:type="dxa"/>
            <w:vMerge/>
          </w:tcPr>
          <w:p w:rsidR="00BD479B" w:rsidRDefault="00BD479B" w:rsidP="006E10DB">
            <w:pPr>
              <w:spacing w:after="120"/>
            </w:pPr>
          </w:p>
        </w:tc>
        <w:tc>
          <w:tcPr>
            <w:tcW w:w="4104" w:type="dxa"/>
          </w:tcPr>
          <w:p w:rsidR="00BD479B" w:rsidRDefault="00BD479B" w:rsidP="00BD479B">
            <w:pPr>
              <w:ind w:left="74"/>
            </w:pPr>
            <w:r>
              <w:t>$0 to reserve requirements exemption amount ($15.5 million)</w:t>
            </w:r>
          </w:p>
        </w:tc>
        <w:tc>
          <w:tcPr>
            <w:tcW w:w="4104" w:type="dxa"/>
          </w:tcPr>
          <w:p w:rsidR="00BD479B" w:rsidRDefault="00BD479B" w:rsidP="007A4A48">
            <w:r>
              <w:t>0% of amount</w:t>
            </w:r>
          </w:p>
        </w:tc>
      </w:tr>
      <w:tr w:rsidR="00BD479B" w:rsidRPr="00967605" w:rsidTr="00243AAF">
        <w:trPr>
          <w:trHeight w:val="48"/>
        </w:trPr>
        <w:tc>
          <w:tcPr>
            <w:tcW w:w="1278" w:type="dxa"/>
            <w:vMerge/>
          </w:tcPr>
          <w:p w:rsidR="00BD479B" w:rsidRDefault="00BD479B" w:rsidP="00413996"/>
        </w:tc>
        <w:tc>
          <w:tcPr>
            <w:tcW w:w="2250" w:type="dxa"/>
            <w:vMerge/>
          </w:tcPr>
          <w:p w:rsidR="00BD479B" w:rsidRDefault="00BD479B" w:rsidP="000C6F62"/>
        </w:tc>
        <w:tc>
          <w:tcPr>
            <w:tcW w:w="1440" w:type="dxa"/>
            <w:vMerge/>
          </w:tcPr>
          <w:p w:rsidR="00BD479B" w:rsidRDefault="00BD479B" w:rsidP="006E10DB">
            <w:pPr>
              <w:spacing w:after="120"/>
            </w:pPr>
          </w:p>
        </w:tc>
        <w:tc>
          <w:tcPr>
            <w:tcW w:w="4104" w:type="dxa"/>
          </w:tcPr>
          <w:p w:rsidR="00BD479B" w:rsidRDefault="00BD479B" w:rsidP="00BD479B">
            <w:pPr>
              <w:ind w:left="74"/>
            </w:pPr>
            <w:r>
              <w:t>Over reserve requirement exemption and up to love reserve tranche ($115.1 million)</w:t>
            </w:r>
          </w:p>
        </w:tc>
        <w:tc>
          <w:tcPr>
            <w:tcW w:w="4104" w:type="dxa"/>
          </w:tcPr>
          <w:p w:rsidR="00BD479B" w:rsidRDefault="00BD479B" w:rsidP="007A4A48">
            <w:r>
              <w:t>3% of amount</w:t>
            </w:r>
          </w:p>
        </w:tc>
      </w:tr>
      <w:tr w:rsidR="00BD479B" w:rsidRPr="00967605" w:rsidTr="00243AAF">
        <w:trPr>
          <w:trHeight w:val="48"/>
        </w:trPr>
        <w:tc>
          <w:tcPr>
            <w:tcW w:w="1278" w:type="dxa"/>
            <w:vMerge/>
          </w:tcPr>
          <w:p w:rsidR="00BD479B" w:rsidRDefault="00BD479B" w:rsidP="00413996"/>
        </w:tc>
        <w:tc>
          <w:tcPr>
            <w:tcW w:w="2250" w:type="dxa"/>
            <w:vMerge/>
          </w:tcPr>
          <w:p w:rsidR="00BD479B" w:rsidRDefault="00BD479B" w:rsidP="000C6F62"/>
        </w:tc>
        <w:tc>
          <w:tcPr>
            <w:tcW w:w="1440" w:type="dxa"/>
            <w:vMerge/>
          </w:tcPr>
          <w:p w:rsidR="00BD479B" w:rsidRDefault="00BD479B" w:rsidP="006E10DB">
            <w:pPr>
              <w:spacing w:after="120"/>
            </w:pPr>
          </w:p>
        </w:tc>
        <w:tc>
          <w:tcPr>
            <w:tcW w:w="4104" w:type="dxa"/>
          </w:tcPr>
          <w:p w:rsidR="00BD479B" w:rsidRDefault="00BD479B" w:rsidP="00BD479B">
            <w:pPr>
              <w:ind w:left="74"/>
            </w:pPr>
            <w:r>
              <w:t xml:space="preserve">Over low reserve tranche </w:t>
            </w:r>
          </w:p>
        </w:tc>
        <w:tc>
          <w:tcPr>
            <w:tcW w:w="4104" w:type="dxa"/>
          </w:tcPr>
          <w:p w:rsidR="00BD479B" w:rsidRDefault="00BD479B" w:rsidP="007A4A48">
            <w:r>
              <w:t>$2,988,000 plus 10% over $115.1 million</w:t>
            </w:r>
          </w:p>
        </w:tc>
      </w:tr>
      <w:tr w:rsidR="00BD479B" w:rsidRPr="00967605" w:rsidTr="00243AAF">
        <w:trPr>
          <w:trHeight w:val="48"/>
        </w:trPr>
        <w:tc>
          <w:tcPr>
            <w:tcW w:w="1278" w:type="dxa"/>
            <w:vMerge/>
          </w:tcPr>
          <w:p w:rsidR="00BD479B" w:rsidRDefault="00BD479B" w:rsidP="00413996"/>
        </w:tc>
        <w:tc>
          <w:tcPr>
            <w:tcW w:w="2250" w:type="dxa"/>
            <w:vMerge/>
          </w:tcPr>
          <w:p w:rsidR="00BD479B" w:rsidRDefault="00BD479B" w:rsidP="000C6F62"/>
        </w:tc>
        <w:tc>
          <w:tcPr>
            <w:tcW w:w="1440" w:type="dxa"/>
            <w:vMerge/>
          </w:tcPr>
          <w:p w:rsidR="00BD479B" w:rsidRDefault="00BD479B" w:rsidP="006E10DB">
            <w:pPr>
              <w:spacing w:after="120"/>
            </w:pPr>
          </w:p>
        </w:tc>
        <w:tc>
          <w:tcPr>
            <w:tcW w:w="4104" w:type="dxa"/>
          </w:tcPr>
          <w:p w:rsidR="00BD479B" w:rsidRDefault="00BD479B" w:rsidP="00BD479B">
            <w:pPr>
              <w:ind w:left="74"/>
            </w:pPr>
            <w:r>
              <w:t>Nonpersonal time deposits</w:t>
            </w:r>
          </w:p>
        </w:tc>
        <w:tc>
          <w:tcPr>
            <w:tcW w:w="4104" w:type="dxa"/>
          </w:tcPr>
          <w:p w:rsidR="00BD479B" w:rsidRDefault="00BD479B" w:rsidP="007A4A48">
            <w:r>
              <w:t>0%</w:t>
            </w:r>
          </w:p>
        </w:tc>
      </w:tr>
      <w:tr w:rsidR="00BD479B" w:rsidRPr="00967605" w:rsidTr="00BD479B">
        <w:trPr>
          <w:trHeight w:val="314"/>
        </w:trPr>
        <w:tc>
          <w:tcPr>
            <w:tcW w:w="1278" w:type="dxa"/>
            <w:vMerge/>
          </w:tcPr>
          <w:p w:rsidR="00BD479B" w:rsidRDefault="00BD479B" w:rsidP="00413996"/>
        </w:tc>
        <w:tc>
          <w:tcPr>
            <w:tcW w:w="2250" w:type="dxa"/>
            <w:vMerge/>
          </w:tcPr>
          <w:p w:rsidR="00BD479B" w:rsidRDefault="00BD479B" w:rsidP="000C6F62"/>
        </w:tc>
        <w:tc>
          <w:tcPr>
            <w:tcW w:w="1440" w:type="dxa"/>
            <w:vMerge/>
          </w:tcPr>
          <w:p w:rsidR="00BD479B" w:rsidRDefault="00BD479B" w:rsidP="006E10DB">
            <w:pPr>
              <w:spacing w:after="120"/>
            </w:pPr>
          </w:p>
        </w:tc>
        <w:tc>
          <w:tcPr>
            <w:tcW w:w="4104" w:type="dxa"/>
          </w:tcPr>
          <w:p w:rsidR="00BD479B" w:rsidRDefault="00BD479B" w:rsidP="00BD479B">
            <w:pPr>
              <w:ind w:left="74"/>
            </w:pPr>
            <w:r>
              <w:t>Eurocurrency liabilities</w:t>
            </w:r>
          </w:p>
        </w:tc>
        <w:tc>
          <w:tcPr>
            <w:tcW w:w="4104" w:type="dxa"/>
          </w:tcPr>
          <w:p w:rsidR="00BD479B" w:rsidRDefault="00BD479B" w:rsidP="007A4A48">
            <w:r>
              <w:t>0%</w:t>
            </w:r>
          </w:p>
        </w:tc>
      </w:tr>
    </w:tbl>
    <w:p w:rsidR="00CE26B8" w:rsidRPr="00CE26B8" w:rsidRDefault="00CE26B8" w:rsidP="000F5081">
      <w:pPr>
        <w:spacing w:after="0" w:line="240" w:lineRule="auto"/>
      </w:pPr>
    </w:p>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413996">
        <w:tc>
          <w:tcPr>
            <w:tcW w:w="1278" w:type="dxa"/>
            <w:tcBorders>
              <w:top w:val="nil"/>
              <w:left w:val="nil"/>
              <w:right w:val="nil"/>
            </w:tcBorders>
          </w:tcPr>
          <w:p w:rsidR="00DC082C" w:rsidRDefault="00DC082C" w:rsidP="00413996">
            <w:pPr>
              <w:rPr>
                <w:b/>
              </w:rPr>
            </w:pPr>
            <w:r>
              <w:rPr>
                <w:b/>
              </w:rPr>
              <w:t>Comments Due</w:t>
            </w:r>
          </w:p>
        </w:tc>
        <w:tc>
          <w:tcPr>
            <w:tcW w:w="2282" w:type="dxa"/>
            <w:tcBorders>
              <w:top w:val="nil"/>
              <w:left w:val="nil"/>
              <w:right w:val="nil"/>
            </w:tcBorders>
          </w:tcPr>
          <w:p w:rsidR="00DC082C" w:rsidRDefault="00DC082C" w:rsidP="00413996">
            <w:pPr>
              <w:rPr>
                <w:b/>
              </w:rPr>
            </w:pPr>
            <w:r>
              <w:rPr>
                <w:b/>
              </w:rPr>
              <w:t>Regulation</w:t>
            </w:r>
          </w:p>
        </w:tc>
        <w:tc>
          <w:tcPr>
            <w:tcW w:w="1411" w:type="dxa"/>
            <w:tcBorders>
              <w:top w:val="nil"/>
              <w:left w:val="nil"/>
              <w:right w:val="nil"/>
            </w:tcBorders>
          </w:tcPr>
          <w:p w:rsidR="00DC082C" w:rsidRDefault="00DC082C" w:rsidP="00413996">
            <w:pPr>
              <w:rPr>
                <w:b/>
              </w:rPr>
            </w:pPr>
            <w:r>
              <w:rPr>
                <w:b/>
              </w:rPr>
              <w:t>Citation</w:t>
            </w:r>
          </w:p>
        </w:tc>
        <w:tc>
          <w:tcPr>
            <w:tcW w:w="8205" w:type="dxa"/>
            <w:tcBorders>
              <w:top w:val="nil"/>
              <w:left w:val="nil"/>
              <w:right w:val="nil"/>
            </w:tcBorders>
          </w:tcPr>
          <w:p w:rsidR="00DC082C" w:rsidRDefault="00DC082C" w:rsidP="00413996">
            <w:pPr>
              <w:rPr>
                <w:b/>
              </w:rPr>
            </w:pPr>
            <w:r>
              <w:rPr>
                <w:b/>
              </w:rPr>
              <w:t>Summary</w:t>
            </w:r>
          </w:p>
        </w:tc>
      </w:tr>
      <w:tr w:rsidR="00DC082C" w:rsidRPr="00967605" w:rsidTr="00413996">
        <w:tc>
          <w:tcPr>
            <w:tcW w:w="1278" w:type="dxa"/>
          </w:tcPr>
          <w:p w:rsidR="00DC082C" w:rsidRPr="000E1F7A" w:rsidRDefault="00DC082C" w:rsidP="00413996"/>
        </w:tc>
        <w:tc>
          <w:tcPr>
            <w:tcW w:w="2282" w:type="dxa"/>
          </w:tcPr>
          <w:p w:rsidR="00DC082C" w:rsidRPr="000E1F7A" w:rsidRDefault="00DC082C" w:rsidP="00413996"/>
        </w:tc>
        <w:tc>
          <w:tcPr>
            <w:tcW w:w="1411" w:type="dxa"/>
          </w:tcPr>
          <w:p w:rsidR="00DC082C" w:rsidRPr="000E1F7A" w:rsidRDefault="00DC082C" w:rsidP="00413996"/>
        </w:tc>
        <w:tc>
          <w:tcPr>
            <w:tcW w:w="8205" w:type="dxa"/>
          </w:tcPr>
          <w:p w:rsidR="00DC082C" w:rsidRPr="00C950B3" w:rsidRDefault="00DC082C" w:rsidP="00413996">
            <w:pPr>
              <w:pStyle w:val="NormalWeb"/>
              <w:spacing w:before="0" w:beforeAutospacing="0" w:after="0" w:afterAutospacing="0"/>
              <w:rPr>
                <w:rFonts w:asciiTheme="minorHAnsi" w:eastAsiaTheme="minorEastAsia" w:hAnsiTheme="minorHAnsi" w:cstheme="minorBidi"/>
                <w:sz w:val="22"/>
                <w:szCs w:val="22"/>
              </w:rPr>
            </w:pPr>
          </w:p>
        </w:tc>
      </w:tr>
    </w:tbl>
    <w:p w:rsidR="001B4DB6" w:rsidRPr="00933EB4" w:rsidRDefault="001B4DB6" w:rsidP="000C6F62">
      <w:pPr>
        <w:spacing w:before="240" w:after="0"/>
      </w:pPr>
      <w:r>
        <w:t xml:space="preserve">The CFPB also updated its </w:t>
      </w:r>
      <w:hyperlink r:id="rId15" w:history="1">
        <w:r w:rsidRPr="001B4DB6">
          <w:rPr>
            <w:rStyle w:val="Hyperlink"/>
          </w:rPr>
          <w:t>Rulemaking Agenda</w:t>
        </w:r>
      </w:hyperlink>
      <w:r>
        <w:t xml:space="preserve"> for 2017.  Included in the list are:  overdrafts, debt collection rules, and the collection of business lending data.  </w:t>
      </w:r>
    </w:p>
    <w:p w:rsidR="000C6F62" w:rsidRDefault="000C6F62" w:rsidP="000C6F62">
      <w:pPr>
        <w:spacing w:before="240" w:after="0"/>
        <w:rPr>
          <w:b/>
          <w:sz w:val="28"/>
          <w:szCs w:val="28"/>
        </w:rPr>
      </w:pPr>
      <w:r>
        <w:rPr>
          <w:b/>
          <w:sz w:val="28"/>
          <w:szCs w:val="28"/>
        </w:rPr>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413996">
            <w:pPr>
              <w:rPr>
                <w:b/>
              </w:rPr>
            </w:pPr>
            <w:r>
              <w:rPr>
                <w:b/>
              </w:rPr>
              <w:t>Guidance</w:t>
            </w:r>
          </w:p>
        </w:tc>
        <w:tc>
          <w:tcPr>
            <w:tcW w:w="10875" w:type="dxa"/>
            <w:tcBorders>
              <w:top w:val="nil"/>
              <w:left w:val="nil"/>
              <w:right w:val="nil"/>
            </w:tcBorders>
          </w:tcPr>
          <w:p w:rsidR="000C6F62" w:rsidRDefault="000C6F62" w:rsidP="00413996">
            <w:pPr>
              <w:rPr>
                <w:b/>
              </w:rPr>
            </w:pPr>
            <w:r>
              <w:rPr>
                <w:b/>
              </w:rPr>
              <w:t>Summary</w:t>
            </w:r>
          </w:p>
        </w:tc>
      </w:tr>
      <w:tr w:rsidR="001F2A05" w:rsidRPr="00967605" w:rsidTr="000C6F62">
        <w:tc>
          <w:tcPr>
            <w:tcW w:w="2283" w:type="dxa"/>
          </w:tcPr>
          <w:p w:rsidR="001F2A05" w:rsidRDefault="001F2A05" w:rsidP="00413996">
            <w:hyperlink r:id="rId16" w:history="1">
              <w:r w:rsidRPr="001F2A05">
                <w:rPr>
                  <w:rStyle w:val="Hyperlink"/>
                </w:rPr>
                <w:t>NCUA Letter to Credit Unions 16-CU-12</w:t>
              </w:r>
            </w:hyperlink>
          </w:p>
        </w:tc>
        <w:tc>
          <w:tcPr>
            <w:tcW w:w="10875" w:type="dxa"/>
          </w:tcPr>
          <w:p w:rsidR="001F2A05" w:rsidRDefault="001F2A05"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 letter addresses changes to the exam scheduling and procedures for 2017.  Credit unions with under $1 billion in assets may see a longer period between examinations.  Improvements include a minimum of a four week advance notice, improving coordination of document requests, and separating pre-planning and scoping from the beginning of onsite examination work.  </w:t>
            </w:r>
            <w:bookmarkStart w:id="0" w:name="_GoBack"/>
            <w:bookmarkEnd w:id="0"/>
          </w:p>
        </w:tc>
      </w:tr>
      <w:tr w:rsidR="000F5081" w:rsidRPr="00967605" w:rsidTr="000C6F62">
        <w:tc>
          <w:tcPr>
            <w:tcW w:w="2283" w:type="dxa"/>
          </w:tcPr>
          <w:p w:rsidR="000F5081" w:rsidRDefault="001F2A05" w:rsidP="00413996">
            <w:hyperlink r:id="rId17" w:history="1">
              <w:r w:rsidR="00176BAE" w:rsidRPr="00FF7353">
                <w:rPr>
                  <w:rStyle w:val="Hyperlink"/>
                </w:rPr>
                <w:t>FASB – CECL FAQs</w:t>
              </w:r>
            </w:hyperlink>
          </w:p>
        </w:tc>
        <w:tc>
          <w:tcPr>
            <w:tcW w:w="10875" w:type="dxa"/>
          </w:tcPr>
          <w:p w:rsidR="000F5081" w:rsidRPr="006908CC" w:rsidRDefault="00FF7353"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 Banking Brotherhood </w:t>
            </w:r>
            <w:r w:rsidR="00F026C4">
              <w:rPr>
                <w:rFonts w:asciiTheme="minorHAnsi" w:hAnsiTheme="minorHAnsi" w:cs="Arial"/>
                <w:sz w:val="22"/>
                <w:szCs w:val="22"/>
                <w:shd w:val="clear" w:color="auto" w:fill="FFFFFF"/>
              </w:rPr>
              <w:t>has</w:t>
            </w:r>
            <w:r w:rsidR="00F026C4" w:rsidRPr="00F026C4">
              <w:rPr>
                <w:rFonts w:asciiTheme="minorHAnsi" w:hAnsiTheme="minorHAnsi" w:cs="Arial"/>
                <w:sz w:val="22"/>
                <w:szCs w:val="22"/>
                <w:shd w:val="clear" w:color="auto" w:fill="FFFFFF"/>
              </w:rPr>
              <w:t xml:space="preserve"> published an FAQ document on the Financial Accounting Standards Board's Current Expected Credit Loss standard. The FAQs summarize key elements of the new standard, highlight changes to U.S. generally accepted accounting principles, provide regulatory perspective on CECL processes and methodologies and outline steps banks can take to prepare for implementation. CECL will be effective in 2020 for SEC registrants and in 2021 for all others.</w:t>
            </w:r>
          </w:p>
        </w:tc>
      </w:tr>
      <w:tr w:rsidR="006908CC" w:rsidRPr="00967605" w:rsidTr="000C6F62">
        <w:tc>
          <w:tcPr>
            <w:tcW w:w="2283" w:type="dxa"/>
          </w:tcPr>
          <w:p w:rsidR="006908CC" w:rsidRDefault="001F2A05" w:rsidP="00413996">
            <w:hyperlink r:id="rId18" w:history="1">
              <w:r w:rsidR="00EA7A23" w:rsidRPr="00EA7A23">
                <w:rPr>
                  <w:rStyle w:val="Hyperlink"/>
                </w:rPr>
                <w:t>NCUA Letter 16-CU-11</w:t>
              </w:r>
            </w:hyperlink>
          </w:p>
        </w:tc>
        <w:tc>
          <w:tcPr>
            <w:tcW w:w="10875" w:type="dxa"/>
          </w:tcPr>
          <w:p w:rsidR="006908CC" w:rsidRPr="00C77CEE" w:rsidRDefault="00EF1DD3" w:rsidP="006908CC">
            <w:pPr>
              <w:pStyle w:val="NormalWeb"/>
              <w:spacing w:after="0"/>
              <w:rPr>
                <w:rFonts w:asciiTheme="minorHAnsi" w:hAnsiTheme="minorHAnsi" w:cs="Arial"/>
                <w:sz w:val="22"/>
                <w:szCs w:val="22"/>
                <w:shd w:val="clear" w:color="auto" w:fill="FFFFFF"/>
              </w:rPr>
            </w:pPr>
            <w:r w:rsidRPr="00EF1DD3">
              <w:rPr>
                <w:rFonts w:asciiTheme="minorHAnsi" w:hAnsiTheme="minorHAnsi" w:cs="Arial"/>
                <w:sz w:val="22"/>
                <w:szCs w:val="22"/>
                <w:shd w:val="clear" w:color="auto" w:fill="FFFFFF"/>
              </w:rPr>
              <w:t>NCUA released guidance on the new member business lending (MBL) rules, which go into effect in January.  The guidance is incorporated into the NCUA’s new online Examiner’s Guide.</w:t>
            </w:r>
          </w:p>
        </w:tc>
      </w:tr>
    </w:tbl>
    <w:p w:rsidR="000C6F62" w:rsidRDefault="000C6F62" w:rsidP="00D1188B"/>
    <w:p w:rsidR="00013BF9" w:rsidRPr="00013BF9" w:rsidRDefault="00013BF9" w:rsidP="00D1188B">
      <w:pPr>
        <w:rPr>
          <w:b/>
          <w:sz w:val="28"/>
          <w:szCs w:val="28"/>
        </w:rPr>
      </w:pPr>
      <w:r w:rsidRPr="00013BF9">
        <w:rPr>
          <w:b/>
          <w:sz w:val="28"/>
          <w:szCs w:val="28"/>
        </w:rPr>
        <w:t>IMPORTANT DATES</w:t>
      </w:r>
    </w:p>
    <w:tbl>
      <w:tblPr>
        <w:tblStyle w:val="TableGrid"/>
        <w:tblW w:w="0" w:type="auto"/>
        <w:tblLook w:val="04A0" w:firstRow="1" w:lastRow="0" w:firstColumn="1" w:lastColumn="0" w:noHBand="0" w:noVBand="1"/>
      </w:tblPr>
      <w:tblGrid>
        <w:gridCol w:w="2268"/>
        <w:gridCol w:w="10908"/>
      </w:tblGrid>
      <w:tr w:rsidR="00443C0F" w:rsidTr="00013BF9">
        <w:tc>
          <w:tcPr>
            <w:tcW w:w="2268" w:type="dxa"/>
          </w:tcPr>
          <w:p w:rsidR="00443C0F" w:rsidRDefault="00443C0F" w:rsidP="00D1188B">
            <w:r>
              <w:t>01/01/2017</w:t>
            </w:r>
          </w:p>
        </w:tc>
        <w:tc>
          <w:tcPr>
            <w:tcW w:w="10908" w:type="dxa"/>
          </w:tcPr>
          <w:p w:rsidR="00443C0F" w:rsidRDefault="001F2A05" w:rsidP="00D1188B">
            <w:hyperlink r:id="rId19" w:history="1">
              <w:r w:rsidR="00443C0F" w:rsidRPr="00780EB2">
                <w:rPr>
                  <w:rStyle w:val="Hyperlink"/>
                </w:rPr>
                <w:t>Washington Minimum Wage and Sick Leave</w:t>
              </w:r>
            </w:hyperlink>
            <w:r w:rsidR="00443C0F">
              <w:rPr>
                <w:rStyle w:val="Hyperlink"/>
              </w:rPr>
              <w:t xml:space="preserve"> </w:t>
            </w:r>
            <w:r w:rsidR="00443C0F">
              <w:t xml:space="preserve">Effective 01/01/2017, the minimum wage will increase to $11.00/hour, and raised again in following years.  </w:t>
            </w:r>
          </w:p>
        </w:tc>
      </w:tr>
      <w:tr w:rsidR="00EF1DD3" w:rsidTr="00013BF9">
        <w:tc>
          <w:tcPr>
            <w:tcW w:w="2268" w:type="dxa"/>
          </w:tcPr>
          <w:p w:rsidR="00EF1DD3" w:rsidRDefault="00EF1DD3" w:rsidP="00D1188B">
            <w:r>
              <w:t>01/01/2017</w:t>
            </w:r>
          </w:p>
        </w:tc>
        <w:tc>
          <w:tcPr>
            <w:tcW w:w="10908" w:type="dxa"/>
          </w:tcPr>
          <w:p w:rsidR="00EF1DD3" w:rsidRDefault="001F2A05" w:rsidP="00D1188B">
            <w:hyperlink r:id="rId20" w:history="1">
              <w:r w:rsidR="00EF1DD3" w:rsidRPr="00EF1DD3">
                <w:rPr>
                  <w:rStyle w:val="Hyperlink"/>
                </w:rPr>
                <w:t>Washington Uniform Power of Attorney Act</w:t>
              </w:r>
            </w:hyperlink>
          </w:p>
        </w:tc>
      </w:tr>
      <w:tr w:rsidR="00DD1CB4" w:rsidTr="00013BF9">
        <w:tc>
          <w:tcPr>
            <w:tcW w:w="2268" w:type="dxa"/>
          </w:tcPr>
          <w:p w:rsidR="00DD1CB4" w:rsidRDefault="00DD1CB4" w:rsidP="00D1188B">
            <w:r>
              <w:t>01/31/2017</w:t>
            </w:r>
          </w:p>
        </w:tc>
        <w:tc>
          <w:tcPr>
            <w:tcW w:w="10908" w:type="dxa"/>
          </w:tcPr>
          <w:p w:rsidR="00DD1CB4" w:rsidRDefault="00DD1CB4" w:rsidP="00D1188B">
            <w:r>
              <w:t>Credit unions need to apply for Foreclosure Fairness Act exemptions by January 31, 2017.</w:t>
            </w:r>
          </w:p>
        </w:tc>
      </w:tr>
      <w:tr w:rsidR="00013BF9" w:rsidTr="00013BF9">
        <w:tc>
          <w:tcPr>
            <w:tcW w:w="2268" w:type="dxa"/>
          </w:tcPr>
          <w:p w:rsidR="00013BF9" w:rsidRDefault="005F4AC9" w:rsidP="00D1188B">
            <w:r>
              <w:t>10/19/2017</w:t>
            </w:r>
          </w:p>
        </w:tc>
        <w:tc>
          <w:tcPr>
            <w:tcW w:w="10908" w:type="dxa"/>
          </w:tcPr>
          <w:p w:rsidR="00013BF9" w:rsidRDefault="005F4AC9" w:rsidP="00D1188B">
            <w:r>
              <w:t>Mortgage Servicing Rule effective date</w:t>
            </w:r>
            <w:r w:rsidR="00DD1CB4">
              <w:t>.</w:t>
            </w:r>
          </w:p>
        </w:tc>
      </w:tr>
    </w:tbl>
    <w:p w:rsidR="00013BF9" w:rsidRDefault="00013BF9" w:rsidP="00D1188B"/>
    <w:p w:rsidR="00225F57" w:rsidRDefault="00B2494D" w:rsidP="00D830AA">
      <w:r w:rsidRPr="00B2494D">
        <w:rPr>
          <w:b/>
        </w:rPr>
        <w:t>Call Report due dates for 2017</w:t>
      </w:r>
      <w:r>
        <w:t xml:space="preserve">:  January 29, April 30, July 30, and October 29 (the last Sunday of the month following the quarter end).  </w:t>
      </w:r>
    </w:p>
    <w:p w:rsidR="000F5081" w:rsidRPr="00DD1CB4" w:rsidRDefault="00DD1CB4">
      <w:r w:rsidRPr="00DD1CB4">
        <w:rPr>
          <w:b/>
        </w:rPr>
        <w:t>Website Compliance Exams:</w:t>
      </w:r>
      <w:r>
        <w:t xml:space="preserve">  Washington State will restart conducting website compliance exams mid-December.  No activity is required by the credit union, and the exam will be separate from safety and soundness exams.  </w:t>
      </w:r>
    </w:p>
    <w:sectPr w:rsidR="000F5081" w:rsidRPr="00DD1CB4" w:rsidSect="004670B2">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96" w:rsidRDefault="00413996" w:rsidP="009516FB">
      <w:pPr>
        <w:spacing w:after="0" w:line="240" w:lineRule="auto"/>
      </w:pPr>
      <w:r>
        <w:separator/>
      </w:r>
    </w:p>
  </w:endnote>
  <w:endnote w:type="continuationSeparator" w:id="0">
    <w:p w:rsidR="00413996" w:rsidRDefault="00413996"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96" w:rsidRDefault="00413996"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Legislative Update </w:t>
    </w:r>
    <w:r w:rsidR="00ED793F">
      <w:t>December</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96" w:rsidRDefault="00413996" w:rsidP="009516FB">
      <w:pPr>
        <w:spacing w:after="0" w:line="240" w:lineRule="auto"/>
      </w:pPr>
      <w:r>
        <w:separator/>
      </w:r>
    </w:p>
  </w:footnote>
  <w:footnote w:type="continuationSeparator" w:id="0">
    <w:p w:rsidR="00413996" w:rsidRDefault="00413996" w:rsidP="0095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28335"/>
      <w:docPartObj>
        <w:docPartGallery w:val="Page Numbers (Top of Page)"/>
        <w:docPartUnique/>
      </w:docPartObj>
    </w:sdtPr>
    <w:sdtEndPr>
      <w:rPr>
        <w:noProof/>
      </w:rPr>
    </w:sdtEndPr>
    <w:sdtContent>
      <w:p w:rsidR="00413996" w:rsidRDefault="00413996">
        <w:pPr>
          <w:pStyle w:val="Header"/>
          <w:jc w:val="right"/>
        </w:pPr>
        <w:r>
          <w:fldChar w:fldCharType="begin"/>
        </w:r>
        <w:r>
          <w:instrText xml:space="preserve"> PAGE   \* MERGEFORMAT </w:instrText>
        </w:r>
        <w:r>
          <w:fldChar w:fldCharType="separate"/>
        </w:r>
        <w:r w:rsidR="001F2A05">
          <w:rPr>
            <w:noProof/>
          </w:rPr>
          <w:t>1</w:t>
        </w:r>
        <w:r>
          <w:rPr>
            <w:noProof/>
          </w:rPr>
          <w:fldChar w:fldCharType="end"/>
        </w:r>
      </w:p>
    </w:sdtContent>
  </w:sdt>
  <w:p w:rsidR="00413996" w:rsidRDefault="00413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7"/>
  </w:num>
  <w:num w:numId="8">
    <w:abstractNumId w:val="6"/>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B2"/>
    <w:rsid w:val="00001E88"/>
    <w:rsid w:val="00011112"/>
    <w:rsid w:val="00013BF9"/>
    <w:rsid w:val="00013FA8"/>
    <w:rsid w:val="00016A3D"/>
    <w:rsid w:val="00036A9E"/>
    <w:rsid w:val="0004395A"/>
    <w:rsid w:val="00050E93"/>
    <w:rsid w:val="00053D69"/>
    <w:rsid w:val="0005474C"/>
    <w:rsid w:val="000704A8"/>
    <w:rsid w:val="0007572E"/>
    <w:rsid w:val="000C6F62"/>
    <w:rsid w:val="000E0E4E"/>
    <w:rsid w:val="000E1F7A"/>
    <w:rsid w:val="000F5081"/>
    <w:rsid w:val="00105532"/>
    <w:rsid w:val="00105BF0"/>
    <w:rsid w:val="00114BD2"/>
    <w:rsid w:val="0012584F"/>
    <w:rsid w:val="001371A1"/>
    <w:rsid w:val="00137A4B"/>
    <w:rsid w:val="00154381"/>
    <w:rsid w:val="00155503"/>
    <w:rsid w:val="00155BB2"/>
    <w:rsid w:val="00172B95"/>
    <w:rsid w:val="00173106"/>
    <w:rsid w:val="00174A57"/>
    <w:rsid w:val="00176A30"/>
    <w:rsid w:val="00176BAE"/>
    <w:rsid w:val="001924F5"/>
    <w:rsid w:val="001B36FB"/>
    <w:rsid w:val="001B4DB6"/>
    <w:rsid w:val="001C24FB"/>
    <w:rsid w:val="001F2A05"/>
    <w:rsid w:val="001F4193"/>
    <w:rsid w:val="00207316"/>
    <w:rsid w:val="00217B65"/>
    <w:rsid w:val="0022595F"/>
    <w:rsid w:val="00225F57"/>
    <w:rsid w:val="00233F19"/>
    <w:rsid w:val="002362A2"/>
    <w:rsid w:val="00251848"/>
    <w:rsid w:val="00261F16"/>
    <w:rsid w:val="002635E0"/>
    <w:rsid w:val="00265D6B"/>
    <w:rsid w:val="00272CD7"/>
    <w:rsid w:val="00274CDA"/>
    <w:rsid w:val="00294580"/>
    <w:rsid w:val="002B082F"/>
    <w:rsid w:val="002B38F0"/>
    <w:rsid w:val="002B4E3D"/>
    <w:rsid w:val="002B6DAC"/>
    <w:rsid w:val="002C4A0B"/>
    <w:rsid w:val="002D029F"/>
    <w:rsid w:val="002E109D"/>
    <w:rsid w:val="002F3DF3"/>
    <w:rsid w:val="002F4525"/>
    <w:rsid w:val="003011AF"/>
    <w:rsid w:val="003017B9"/>
    <w:rsid w:val="003245BB"/>
    <w:rsid w:val="00336C3F"/>
    <w:rsid w:val="00356321"/>
    <w:rsid w:val="00366CE9"/>
    <w:rsid w:val="0038010D"/>
    <w:rsid w:val="00394799"/>
    <w:rsid w:val="003B2BCF"/>
    <w:rsid w:val="003B5637"/>
    <w:rsid w:val="003B5E21"/>
    <w:rsid w:val="003C7920"/>
    <w:rsid w:val="003D64B3"/>
    <w:rsid w:val="003E0302"/>
    <w:rsid w:val="003E2AD1"/>
    <w:rsid w:val="003E70C6"/>
    <w:rsid w:val="003F618F"/>
    <w:rsid w:val="004070E9"/>
    <w:rsid w:val="00413996"/>
    <w:rsid w:val="0042461E"/>
    <w:rsid w:val="004331F4"/>
    <w:rsid w:val="00435186"/>
    <w:rsid w:val="00443C0F"/>
    <w:rsid w:val="00444FFD"/>
    <w:rsid w:val="00445E61"/>
    <w:rsid w:val="00451B34"/>
    <w:rsid w:val="00451DB7"/>
    <w:rsid w:val="00453DA0"/>
    <w:rsid w:val="004629C9"/>
    <w:rsid w:val="004670B2"/>
    <w:rsid w:val="0048047D"/>
    <w:rsid w:val="004B0CF2"/>
    <w:rsid w:val="004B1A12"/>
    <w:rsid w:val="004B7407"/>
    <w:rsid w:val="004C2F31"/>
    <w:rsid w:val="004C4FD5"/>
    <w:rsid w:val="004D5C8D"/>
    <w:rsid w:val="004E02B2"/>
    <w:rsid w:val="004E6E06"/>
    <w:rsid w:val="004F7B91"/>
    <w:rsid w:val="00502F4F"/>
    <w:rsid w:val="00503A84"/>
    <w:rsid w:val="00513A6B"/>
    <w:rsid w:val="005208A0"/>
    <w:rsid w:val="00525941"/>
    <w:rsid w:val="00526961"/>
    <w:rsid w:val="0057444C"/>
    <w:rsid w:val="005A164C"/>
    <w:rsid w:val="005B2EEA"/>
    <w:rsid w:val="005C072A"/>
    <w:rsid w:val="005D4EA4"/>
    <w:rsid w:val="005F4AC9"/>
    <w:rsid w:val="005F4D1E"/>
    <w:rsid w:val="00603473"/>
    <w:rsid w:val="00605BAB"/>
    <w:rsid w:val="00615725"/>
    <w:rsid w:val="006264E4"/>
    <w:rsid w:val="00630088"/>
    <w:rsid w:val="00630275"/>
    <w:rsid w:val="00630DEC"/>
    <w:rsid w:val="00634CA3"/>
    <w:rsid w:val="00644E58"/>
    <w:rsid w:val="006468AC"/>
    <w:rsid w:val="00667C6B"/>
    <w:rsid w:val="00672066"/>
    <w:rsid w:val="006908CC"/>
    <w:rsid w:val="00692031"/>
    <w:rsid w:val="00693EF2"/>
    <w:rsid w:val="006A0683"/>
    <w:rsid w:val="006A7271"/>
    <w:rsid w:val="006B67AC"/>
    <w:rsid w:val="006B6D03"/>
    <w:rsid w:val="006C0A16"/>
    <w:rsid w:val="006C3107"/>
    <w:rsid w:val="006D0C47"/>
    <w:rsid w:val="006D4256"/>
    <w:rsid w:val="006E10DB"/>
    <w:rsid w:val="007075BA"/>
    <w:rsid w:val="00710285"/>
    <w:rsid w:val="007122A3"/>
    <w:rsid w:val="00714311"/>
    <w:rsid w:val="00734132"/>
    <w:rsid w:val="0075139C"/>
    <w:rsid w:val="0076011C"/>
    <w:rsid w:val="00766BE3"/>
    <w:rsid w:val="007761FF"/>
    <w:rsid w:val="00780EB2"/>
    <w:rsid w:val="0079268D"/>
    <w:rsid w:val="007A49A6"/>
    <w:rsid w:val="007A4A48"/>
    <w:rsid w:val="007A78BD"/>
    <w:rsid w:val="007B2E65"/>
    <w:rsid w:val="007C7A17"/>
    <w:rsid w:val="007E2F0F"/>
    <w:rsid w:val="007E5A30"/>
    <w:rsid w:val="007F1644"/>
    <w:rsid w:val="007F444F"/>
    <w:rsid w:val="007F4EEC"/>
    <w:rsid w:val="0080103B"/>
    <w:rsid w:val="00806853"/>
    <w:rsid w:val="008111CC"/>
    <w:rsid w:val="0081242C"/>
    <w:rsid w:val="0082731E"/>
    <w:rsid w:val="00847BAF"/>
    <w:rsid w:val="00857D6B"/>
    <w:rsid w:val="00864656"/>
    <w:rsid w:val="00870B44"/>
    <w:rsid w:val="0087131F"/>
    <w:rsid w:val="00873B59"/>
    <w:rsid w:val="008756E8"/>
    <w:rsid w:val="00881E57"/>
    <w:rsid w:val="008821F9"/>
    <w:rsid w:val="00886D2A"/>
    <w:rsid w:val="00897886"/>
    <w:rsid w:val="008A14C6"/>
    <w:rsid w:val="008B03E6"/>
    <w:rsid w:val="008B5C5C"/>
    <w:rsid w:val="008C7F59"/>
    <w:rsid w:val="008D78E1"/>
    <w:rsid w:val="008E296D"/>
    <w:rsid w:val="00920A21"/>
    <w:rsid w:val="00924FE5"/>
    <w:rsid w:val="00925885"/>
    <w:rsid w:val="009322F0"/>
    <w:rsid w:val="00933EB4"/>
    <w:rsid w:val="009478D9"/>
    <w:rsid w:val="009516FB"/>
    <w:rsid w:val="00980C97"/>
    <w:rsid w:val="009837E4"/>
    <w:rsid w:val="00983CC0"/>
    <w:rsid w:val="00990BAD"/>
    <w:rsid w:val="0099695C"/>
    <w:rsid w:val="009A5E71"/>
    <w:rsid w:val="009A716D"/>
    <w:rsid w:val="009A7FE9"/>
    <w:rsid w:val="009B25D5"/>
    <w:rsid w:val="009C4E16"/>
    <w:rsid w:val="009E1BCF"/>
    <w:rsid w:val="009F00D3"/>
    <w:rsid w:val="00A03475"/>
    <w:rsid w:val="00A10A42"/>
    <w:rsid w:val="00A367AD"/>
    <w:rsid w:val="00A54A69"/>
    <w:rsid w:val="00A731C9"/>
    <w:rsid w:val="00A770CD"/>
    <w:rsid w:val="00A775BA"/>
    <w:rsid w:val="00A81DA4"/>
    <w:rsid w:val="00A82B32"/>
    <w:rsid w:val="00A84002"/>
    <w:rsid w:val="00A8721F"/>
    <w:rsid w:val="00A96B19"/>
    <w:rsid w:val="00A97370"/>
    <w:rsid w:val="00AB217B"/>
    <w:rsid w:val="00AC1EC4"/>
    <w:rsid w:val="00AC28C6"/>
    <w:rsid w:val="00AC6A22"/>
    <w:rsid w:val="00AD2397"/>
    <w:rsid w:val="00AD5A87"/>
    <w:rsid w:val="00AE3AA2"/>
    <w:rsid w:val="00AF302A"/>
    <w:rsid w:val="00B01B28"/>
    <w:rsid w:val="00B11197"/>
    <w:rsid w:val="00B1548D"/>
    <w:rsid w:val="00B2494D"/>
    <w:rsid w:val="00B34E2E"/>
    <w:rsid w:val="00B355D2"/>
    <w:rsid w:val="00B35870"/>
    <w:rsid w:val="00B440A3"/>
    <w:rsid w:val="00B52D08"/>
    <w:rsid w:val="00B532FB"/>
    <w:rsid w:val="00B623E9"/>
    <w:rsid w:val="00B66E90"/>
    <w:rsid w:val="00B71928"/>
    <w:rsid w:val="00B819BC"/>
    <w:rsid w:val="00BA5444"/>
    <w:rsid w:val="00BB1B58"/>
    <w:rsid w:val="00BB6B54"/>
    <w:rsid w:val="00BD479B"/>
    <w:rsid w:val="00BD5ADC"/>
    <w:rsid w:val="00C012BB"/>
    <w:rsid w:val="00C02DF2"/>
    <w:rsid w:val="00C0564A"/>
    <w:rsid w:val="00C12A79"/>
    <w:rsid w:val="00C15E43"/>
    <w:rsid w:val="00C1691D"/>
    <w:rsid w:val="00C40D53"/>
    <w:rsid w:val="00C417A3"/>
    <w:rsid w:val="00C5176C"/>
    <w:rsid w:val="00C52445"/>
    <w:rsid w:val="00C53A07"/>
    <w:rsid w:val="00C6554D"/>
    <w:rsid w:val="00C721DB"/>
    <w:rsid w:val="00C77CEE"/>
    <w:rsid w:val="00C83BE8"/>
    <w:rsid w:val="00C950B3"/>
    <w:rsid w:val="00CA0305"/>
    <w:rsid w:val="00CA2872"/>
    <w:rsid w:val="00CC60FF"/>
    <w:rsid w:val="00CD1AC9"/>
    <w:rsid w:val="00CE1A73"/>
    <w:rsid w:val="00CE26B8"/>
    <w:rsid w:val="00CF22C2"/>
    <w:rsid w:val="00D1188B"/>
    <w:rsid w:val="00D121D2"/>
    <w:rsid w:val="00D25AD2"/>
    <w:rsid w:val="00D3009A"/>
    <w:rsid w:val="00D311E0"/>
    <w:rsid w:val="00D342C8"/>
    <w:rsid w:val="00D42123"/>
    <w:rsid w:val="00D608FB"/>
    <w:rsid w:val="00D830AA"/>
    <w:rsid w:val="00DB2422"/>
    <w:rsid w:val="00DC082C"/>
    <w:rsid w:val="00DC094A"/>
    <w:rsid w:val="00DC5948"/>
    <w:rsid w:val="00DD0103"/>
    <w:rsid w:val="00DD1CB4"/>
    <w:rsid w:val="00DD3ABC"/>
    <w:rsid w:val="00DF483C"/>
    <w:rsid w:val="00E02279"/>
    <w:rsid w:val="00E11D08"/>
    <w:rsid w:val="00E13DD7"/>
    <w:rsid w:val="00E31E6D"/>
    <w:rsid w:val="00E60521"/>
    <w:rsid w:val="00E60F45"/>
    <w:rsid w:val="00E80D83"/>
    <w:rsid w:val="00EA7A23"/>
    <w:rsid w:val="00EC5CB5"/>
    <w:rsid w:val="00ED793F"/>
    <w:rsid w:val="00EF1DD3"/>
    <w:rsid w:val="00F026C4"/>
    <w:rsid w:val="00F02739"/>
    <w:rsid w:val="00F059BB"/>
    <w:rsid w:val="00F2538A"/>
    <w:rsid w:val="00F26D48"/>
    <w:rsid w:val="00F443AC"/>
    <w:rsid w:val="00F507E6"/>
    <w:rsid w:val="00F55547"/>
    <w:rsid w:val="00F628F8"/>
    <w:rsid w:val="00F6705E"/>
    <w:rsid w:val="00F7041B"/>
    <w:rsid w:val="00F76BD4"/>
    <w:rsid w:val="00F970CC"/>
    <w:rsid w:val="00FA16B3"/>
    <w:rsid w:val="00FA7669"/>
    <w:rsid w:val="00FC005D"/>
    <w:rsid w:val="00FD3FF3"/>
    <w:rsid w:val="00FD690C"/>
    <w:rsid w:val="00FF7353"/>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24A526"/>
  <w15:docId w15:val="{BA0B5738-5880-4AB4-A1B5-C2C633F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0B2"/>
    <w:rPr>
      <w:rFonts w:eastAsiaTheme="minorEastAsia"/>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1966546466">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2/21/2016-30730/truth-in-lending-act-regulation-z-adjustment-to-asset-size-exemption-threshold" TargetMode="External"/><Relationship Id="rId13" Type="http://schemas.openxmlformats.org/officeDocument/2006/relationships/hyperlink" Target="https://www.ncua.gov/About/Documents/Agenda%20Items/AG20161215Item2b.pdf" TargetMode="External"/><Relationship Id="rId18" Type="http://schemas.openxmlformats.org/officeDocument/2006/relationships/hyperlink" Target="https://nwcuc.com/ncua-letter-16-cu-11-member-business-loans-guidanc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ederalregister.gov/documents/2016/12/21/2016-30731/home-mortgage-disclosure-regulation-c-adjustment-to-asset-size-exemption-threshold" TargetMode="External"/><Relationship Id="rId12" Type="http://schemas.openxmlformats.org/officeDocument/2006/relationships/hyperlink" Target="https://www.federalregister.gov/documents/2016/12/07/2016-26956/chartering-and-field-of-membership-manual?utm_campaign=subscription%20mailing%20list&amp;utm_source=federalregister.gov&amp;utm_medium=email" TargetMode="External"/><Relationship Id="rId17" Type="http://schemas.openxmlformats.org/officeDocument/2006/relationships/hyperlink" Target="https://www.fdic.gov/news/news/financial/2016/fil16079a.pdf" TargetMode="External"/><Relationship Id="rId2" Type="http://schemas.openxmlformats.org/officeDocument/2006/relationships/styles" Target="styles.xml"/><Relationship Id="rId16" Type="http://schemas.openxmlformats.org/officeDocument/2006/relationships/hyperlink" Target="https://nwcuc.com/risk-based-exam-scheduling/" TargetMode="External"/><Relationship Id="rId20" Type="http://schemas.openxmlformats.org/officeDocument/2006/relationships/hyperlink" Target="https://nwcuc.com/reminder-washington-uniform-power-attorney-act-effective-01012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regs.com/AO/viewform.aspx?source=TOC&amp;formtype=toc&amp;formid=cc23c6b2-6544-4f9d-8f64-764f998739c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ginfo.gov/public/do/eAgendaMain?operation=OPERATION_GET_AGENCY_RULE_LIST&amp;currentPub=true&amp;agencyCode=&amp;showStage=active&amp;agencyCd=3170&amp;Image58.x=23&amp;Image58.y=11&amp;Image58=Submit" TargetMode="External"/><Relationship Id="rId23" Type="http://schemas.openxmlformats.org/officeDocument/2006/relationships/fontTable" Target="fontTable.xml"/><Relationship Id="rId10" Type="http://schemas.openxmlformats.org/officeDocument/2006/relationships/hyperlink" Target="https://www.federalregister.gov/documents/2016/11/30/2016-28718/truth-in-lending-regulation-z" TargetMode="External"/><Relationship Id="rId19" Type="http://schemas.openxmlformats.org/officeDocument/2006/relationships/hyperlink" Target="https://nwcuc.com/washington-minimum-wage-sick-leave/" TargetMode="External"/><Relationship Id="rId4" Type="http://schemas.openxmlformats.org/officeDocument/2006/relationships/webSettings" Target="webSettings.xml"/><Relationship Id="rId9" Type="http://schemas.openxmlformats.org/officeDocument/2006/relationships/hyperlink" Target="https://www.federalregister.gov/documents/2016/11/30/2016-28699/appraisals-for-higher-priced-mortgage-loans-exemption-threshold" TargetMode="External"/><Relationship Id="rId14" Type="http://schemas.openxmlformats.org/officeDocument/2006/relationships/hyperlink" Target="https://www.federalregister.gov/documents/2016/12/19/2016-30320/regulation-d-reserve-requirements-of-depository-institutio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6</cp:revision>
  <cp:lastPrinted>2016-12-27T17:43:00Z</cp:lastPrinted>
  <dcterms:created xsi:type="dcterms:W3CDTF">2016-12-25T16:09:00Z</dcterms:created>
  <dcterms:modified xsi:type="dcterms:W3CDTF">2016-12-29T16:59:00Z</dcterms:modified>
</cp:coreProperties>
</file>