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CF" w:rsidRDefault="009E1BCF" w:rsidP="007B2E65">
      <w:pPr>
        <w:spacing w:after="0"/>
        <w:rPr>
          <w:b/>
          <w:sz w:val="28"/>
          <w:szCs w:val="28"/>
        </w:rPr>
      </w:pPr>
    </w:p>
    <w:p w:rsidR="004670B2" w:rsidRPr="00967605" w:rsidRDefault="004670B2" w:rsidP="007B2E65">
      <w:pPr>
        <w:spacing w:after="0"/>
        <w:rPr>
          <w:sz w:val="28"/>
          <w:szCs w:val="28"/>
        </w:rPr>
      </w:pPr>
      <w:r w:rsidRPr="00967605">
        <w:rPr>
          <w:b/>
          <w:sz w:val="28"/>
          <w:szCs w:val="28"/>
        </w:rPr>
        <w:t>FINAL REGULATIONS</w:t>
      </w:r>
      <w:r w:rsidR="008756E8">
        <w:rPr>
          <w:b/>
          <w:sz w:val="28"/>
          <w:szCs w:val="28"/>
        </w:rPr>
        <w:t>/RULES</w:t>
      </w:r>
    </w:p>
    <w:tbl>
      <w:tblPr>
        <w:tblStyle w:val="TableGrid"/>
        <w:tblW w:w="13176" w:type="dxa"/>
        <w:tblLook w:val="04A0" w:firstRow="1" w:lastRow="0" w:firstColumn="1" w:lastColumn="0" w:noHBand="0" w:noVBand="1"/>
      </w:tblPr>
      <w:tblGrid>
        <w:gridCol w:w="1278"/>
        <w:gridCol w:w="2250"/>
        <w:gridCol w:w="1440"/>
        <w:gridCol w:w="8208"/>
      </w:tblGrid>
      <w:tr w:rsidR="00AC6A22" w:rsidTr="00AC6A22">
        <w:tc>
          <w:tcPr>
            <w:tcW w:w="1278" w:type="dxa"/>
            <w:tcBorders>
              <w:top w:val="nil"/>
              <w:left w:val="nil"/>
              <w:right w:val="nil"/>
            </w:tcBorders>
          </w:tcPr>
          <w:p w:rsidR="00AC6A22" w:rsidRDefault="00AC6A22" w:rsidP="00B5196E">
            <w:pPr>
              <w:rPr>
                <w:b/>
              </w:rPr>
            </w:pPr>
            <w:r>
              <w:rPr>
                <w:b/>
              </w:rPr>
              <w:t>Effective Date</w:t>
            </w:r>
          </w:p>
        </w:tc>
        <w:tc>
          <w:tcPr>
            <w:tcW w:w="2250" w:type="dxa"/>
            <w:tcBorders>
              <w:top w:val="nil"/>
              <w:left w:val="nil"/>
              <w:right w:val="nil"/>
            </w:tcBorders>
          </w:tcPr>
          <w:p w:rsidR="00AC6A22" w:rsidRDefault="00AC6A22" w:rsidP="00B5196E">
            <w:pPr>
              <w:rPr>
                <w:b/>
              </w:rPr>
            </w:pPr>
            <w:r>
              <w:rPr>
                <w:b/>
              </w:rPr>
              <w:t>Regulation</w:t>
            </w:r>
          </w:p>
        </w:tc>
        <w:tc>
          <w:tcPr>
            <w:tcW w:w="1440" w:type="dxa"/>
            <w:tcBorders>
              <w:top w:val="nil"/>
              <w:left w:val="nil"/>
              <w:right w:val="nil"/>
            </w:tcBorders>
          </w:tcPr>
          <w:p w:rsidR="00AC6A22" w:rsidRDefault="00AC6A22" w:rsidP="00B5196E">
            <w:pPr>
              <w:rPr>
                <w:b/>
              </w:rPr>
            </w:pPr>
            <w:r>
              <w:rPr>
                <w:b/>
              </w:rPr>
              <w:t>Citation</w:t>
            </w:r>
          </w:p>
        </w:tc>
        <w:tc>
          <w:tcPr>
            <w:tcW w:w="8208" w:type="dxa"/>
            <w:tcBorders>
              <w:top w:val="nil"/>
              <w:left w:val="nil"/>
              <w:right w:val="nil"/>
            </w:tcBorders>
          </w:tcPr>
          <w:p w:rsidR="00AC6A22" w:rsidRDefault="00AC6A22" w:rsidP="00B5196E">
            <w:pPr>
              <w:rPr>
                <w:b/>
              </w:rPr>
            </w:pPr>
            <w:r>
              <w:rPr>
                <w:b/>
              </w:rPr>
              <w:t>Summary</w:t>
            </w:r>
          </w:p>
        </w:tc>
      </w:tr>
      <w:tr w:rsidR="00B532FB" w:rsidRPr="00967605" w:rsidTr="00AC6A22">
        <w:tc>
          <w:tcPr>
            <w:tcW w:w="1278" w:type="dxa"/>
          </w:tcPr>
          <w:p w:rsidR="00B532FB" w:rsidRDefault="00214AF8" w:rsidP="00B5196E">
            <w:r>
              <w:t>12 Months after publication</w:t>
            </w:r>
          </w:p>
        </w:tc>
        <w:tc>
          <w:tcPr>
            <w:tcW w:w="2250" w:type="dxa"/>
          </w:tcPr>
          <w:p w:rsidR="00B532FB" w:rsidRDefault="00006B79" w:rsidP="000C6F62">
            <w:r>
              <w:t>Foreclosure Protection (Regulations X &amp; Z)</w:t>
            </w:r>
          </w:p>
          <w:p w:rsidR="00214AF8" w:rsidRDefault="00214AF8" w:rsidP="000C6F62">
            <w:r>
              <w:t>(</w:t>
            </w:r>
            <w:hyperlink r:id="rId8" w:history="1">
              <w:r w:rsidRPr="00214AF8">
                <w:rPr>
                  <w:rStyle w:val="Hyperlink"/>
                </w:rPr>
                <w:t>1</w:t>
              </w:r>
            </w:hyperlink>
            <w:r>
              <w:t xml:space="preserve">, </w:t>
            </w:r>
            <w:hyperlink r:id="rId9" w:history="1">
              <w:r w:rsidRPr="00214AF8">
                <w:rPr>
                  <w:rStyle w:val="Hyperlink"/>
                </w:rPr>
                <w:t>2</w:t>
              </w:r>
            </w:hyperlink>
            <w:r>
              <w:t xml:space="preserve">, </w:t>
            </w:r>
            <w:hyperlink r:id="rId10" w:history="1">
              <w:r w:rsidRPr="00214AF8">
                <w:rPr>
                  <w:rStyle w:val="Hyperlink"/>
                </w:rPr>
                <w:t>3</w:t>
              </w:r>
            </w:hyperlink>
            <w:r>
              <w:t xml:space="preserve">, </w:t>
            </w:r>
            <w:hyperlink r:id="rId11" w:history="1">
              <w:r w:rsidRPr="00214AF8">
                <w:rPr>
                  <w:rStyle w:val="Hyperlink"/>
                </w:rPr>
                <w:t>4</w:t>
              </w:r>
            </w:hyperlink>
            <w:r>
              <w:t xml:space="preserve">, </w:t>
            </w:r>
            <w:hyperlink r:id="rId12" w:history="1">
              <w:r w:rsidRPr="00214AF8">
                <w:rPr>
                  <w:rStyle w:val="Hyperlink"/>
                </w:rPr>
                <w:t>5</w:t>
              </w:r>
            </w:hyperlink>
            <w:r>
              <w:t>)</w:t>
            </w:r>
          </w:p>
        </w:tc>
        <w:tc>
          <w:tcPr>
            <w:tcW w:w="1440" w:type="dxa"/>
          </w:tcPr>
          <w:p w:rsidR="00B532FB" w:rsidRDefault="00006B79" w:rsidP="006E10DB">
            <w:pPr>
              <w:spacing w:after="120"/>
            </w:pPr>
            <w:r>
              <w:t>TBD</w:t>
            </w:r>
          </w:p>
        </w:tc>
        <w:tc>
          <w:tcPr>
            <w:tcW w:w="8208" w:type="dxa"/>
          </w:tcPr>
          <w:p w:rsidR="00B532FB" w:rsidRDefault="00214AF8" w:rsidP="00173106">
            <w:proofErr w:type="gramStart"/>
            <w:r>
              <w:t xml:space="preserve">Establishes new consumer protections, including:  </w:t>
            </w:r>
            <w:r w:rsidRPr="00214AF8">
              <w:t>pro</w:t>
            </w:r>
            <w:r>
              <w:t>viding</w:t>
            </w:r>
            <w:r w:rsidRPr="00214AF8">
              <w:t xml:space="preserve"> certain borrowers with foreclosure protections more than once over the life of the loan</w:t>
            </w:r>
            <w:r>
              <w:t>, e</w:t>
            </w:r>
            <w:r w:rsidRPr="00214AF8">
              <w:t>xpanding consumer protections to surviving family members and other homeowners</w:t>
            </w:r>
            <w:r>
              <w:t>, p</w:t>
            </w:r>
            <w:r w:rsidRPr="00214AF8">
              <w:t>roviding more information to borrowers in bankruptcy</w:t>
            </w:r>
            <w:r>
              <w:t>, r</w:t>
            </w:r>
            <w:r w:rsidRPr="00214AF8">
              <w:t>equiring servicers to notify borrowers when loss mitigation applications are complete</w:t>
            </w:r>
            <w:r>
              <w:t>, p</w:t>
            </w:r>
            <w:r w:rsidRPr="00214AF8">
              <w:t>rotecting struggling borrowers during servicing transfers</w:t>
            </w:r>
            <w:r>
              <w:t>, c</w:t>
            </w:r>
            <w:r w:rsidRPr="00214AF8">
              <w:t>larifying servicers’ obligations to avoid dual-tracking and prevent wrongful foreclosures</w:t>
            </w:r>
            <w:r>
              <w:t>, c</w:t>
            </w:r>
            <w:r w:rsidRPr="00214AF8">
              <w:t>larifying when a borrower becomes delinquent</w:t>
            </w:r>
            <w:r>
              <w:t>.</w:t>
            </w:r>
            <w:proofErr w:type="gramEnd"/>
          </w:p>
        </w:tc>
      </w:tr>
      <w:tr w:rsidR="0099119C" w:rsidRPr="00967605" w:rsidTr="00AC6A22">
        <w:tc>
          <w:tcPr>
            <w:tcW w:w="1278" w:type="dxa"/>
          </w:tcPr>
          <w:p w:rsidR="0099119C" w:rsidRDefault="0099119C" w:rsidP="00B5196E">
            <w:r>
              <w:t>08/26/16</w:t>
            </w:r>
          </w:p>
        </w:tc>
        <w:tc>
          <w:tcPr>
            <w:tcW w:w="2250" w:type="dxa"/>
          </w:tcPr>
          <w:p w:rsidR="0099119C" w:rsidRDefault="004570E5" w:rsidP="000C6F62">
            <w:hyperlink r:id="rId13" w:history="1">
              <w:r w:rsidR="0099119C" w:rsidRPr="004570E5">
                <w:rPr>
                  <w:rStyle w:val="Hyperlink"/>
                </w:rPr>
                <w:t>Military Lending Act Interpretive Rule</w:t>
              </w:r>
            </w:hyperlink>
            <w:bookmarkStart w:id="0" w:name="_GoBack"/>
            <w:bookmarkEnd w:id="0"/>
          </w:p>
        </w:tc>
        <w:tc>
          <w:tcPr>
            <w:tcW w:w="1440" w:type="dxa"/>
          </w:tcPr>
          <w:p w:rsidR="0099119C" w:rsidRDefault="0099119C" w:rsidP="006E10DB">
            <w:pPr>
              <w:spacing w:after="120"/>
            </w:pPr>
            <w:hyperlink r:id="rId14" w:history="1">
              <w:r w:rsidRPr="0099119C">
                <w:rPr>
                  <w:rStyle w:val="Hyperlink"/>
                </w:rPr>
                <w:t>81 FR 58840</w:t>
              </w:r>
            </w:hyperlink>
          </w:p>
        </w:tc>
        <w:tc>
          <w:tcPr>
            <w:tcW w:w="8208" w:type="dxa"/>
          </w:tcPr>
          <w:p w:rsidR="0099119C" w:rsidRDefault="0099119C" w:rsidP="004570E5">
            <w:r>
              <w:t xml:space="preserve">The Department of Defense issued interpretations regarding MLA changes effective 10/03/2016.  The </w:t>
            </w:r>
            <w:r w:rsidR="004570E5">
              <w:t>Rule</w:t>
            </w:r>
            <w:r>
              <w:t xml:space="preserve">, presented in a Q&amp;A format, </w:t>
            </w:r>
            <w:r w:rsidR="004570E5">
              <w:t xml:space="preserve">clarify some issues, but still leave some to interpretation.  Two questions that I </w:t>
            </w:r>
            <w:proofErr w:type="gramStart"/>
            <w:r w:rsidR="004570E5">
              <w:t>have been posed</w:t>
            </w:r>
            <w:proofErr w:type="gramEnd"/>
            <w:r w:rsidR="004570E5">
              <w:t xml:space="preserve"> from multiple credit unions involve statutory liens (yes – allowed) and share-secured loans (maybe – the rule implies you can, but I have seen interpretations arguing both sides).  </w:t>
            </w:r>
          </w:p>
        </w:tc>
      </w:tr>
      <w:tr w:rsidR="007A4A48" w:rsidRPr="00967605" w:rsidTr="00AC6A22">
        <w:tc>
          <w:tcPr>
            <w:tcW w:w="1278" w:type="dxa"/>
          </w:tcPr>
          <w:p w:rsidR="007A4A48" w:rsidRDefault="00C76BED" w:rsidP="00B5196E">
            <w:r>
              <w:t>09/29/16</w:t>
            </w:r>
          </w:p>
        </w:tc>
        <w:tc>
          <w:tcPr>
            <w:tcW w:w="2250" w:type="dxa"/>
          </w:tcPr>
          <w:p w:rsidR="007A4A48" w:rsidRDefault="0099119C" w:rsidP="000C6F62">
            <w:hyperlink r:id="rId15" w:history="1">
              <w:r w:rsidR="00C76BED" w:rsidRPr="0099119C">
                <w:rPr>
                  <w:rStyle w:val="Hyperlink"/>
                </w:rPr>
                <w:t>NACHA 3</w:t>
              </w:r>
              <w:r w:rsidR="00C76BED" w:rsidRPr="0099119C">
                <w:rPr>
                  <w:rStyle w:val="Hyperlink"/>
                  <w:vertAlign w:val="superscript"/>
                </w:rPr>
                <w:t>rd</w:t>
              </w:r>
              <w:r w:rsidR="00C76BED" w:rsidRPr="0099119C">
                <w:rPr>
                  <w:rStyle w:val="Hyperlink"/>
                </w:rPr>
                <w:t xml:space="preserve"> Party Sender Registration</w:t>
              </w:r>
            </w:hyperlink>
          </w:p>
        </w:tc>
        <w:tc>
          <w:tcPr>
            <w:tcW w:w="1440" w:type="dxa"/>
          </w:tcPr>
          <w:p w:rsidR="007A4A48" w:rsidRDefault="007A4A48" w:rsidP="006E10DB">
            <w:pPr>
              <w:spacing w:after="120"/>
            </w:pPr>
          </w:p>
        </w:tc>
        <w:tc>
          <w:tcPr>
            <w:tcW w:w="8208" w:type="dxa"/>
          </w:tcPr>
          <w:p w:rsidR="007A4A48" w:rsidRPr="00173106" w:rsidRDefault="00C76BED" w:rsidP="007A4A48">
            <w:r>
              <w:t>R</w:t>
            </w:r>
            <w:r w:rsidRPr="00C76BED">
              <w:t>equire</w:t>
            </w:r>
            <w:r>
              <w:t>s</w:t>
            </w:r>
            <w:r w:rsidRPr="00C76BED">
              <w:t xml:space="preserve"> that originating depository financial institutions (ODFI) submit and maintain information on every third-party sender with which it maintains a relationship.  A third-party sender is a processing intermediary between a financial institution and an end-user of ACH payments.  The Rule will require ODFIs to provide information regarding each third-party relationship it maintains.</w:t>
            </w:r>
          </w:p>
        </w:tc>
      </w:tr>
    </w:tbl>
    <w:p w:rsidR="003B2BCF" w:rsidRDefault="00DC082C" w:rsidP="007B2E65">
      <w:pPr>
        <w:spacing w:before="240" w:after="0"/>
        <w:rPr>
          <w:b/>
          <w:sz w:val="28"/>
          <w:szCs w:val="28"/>
        </w:rPr>
      </w:pPr>
      <w:r>
        <w:rPr>
          <w:b/>
          <w:sz w:val="28"/>
          <w:szCs w:val="28"/>
        </w:rPr>
        <w:t>PROPOSED REGULATIONS</w:t>
      </w:r>
    </w:p>
    <w:tbl>
      <w:tblPr>
        <w:tblStyle w:val="TableGrid"/>
        <w:tblW w:w="13176" w:type="dxa"/>
        <w:tblLook w:val="04A0" w:firstRow="1" w:lastRow="0" w:firstColumn="1" w:lastColumn="0" w:noHBand="0" w:noVBand="1"/>
      </w:tblPr>
      <w:tblGrid>
        <w:gridCol w:w="1278"/>
        <w:gridCol w:w="2282"/>
        <w:gridCol w:w="1411"/>
        <w:gridCol w:w="8205"/>
      </w:tblGrid>
      <w:tr w:rsidR="00DC082C" w:rsidTr="001570E9">
        <w:tc>
          <w:tcPr>
            <w:tcW w:w="1278" w:type="dxa"/>
            <w:tcBorders>
              <w:top w:val="nil"/>
              <w:left w:val="nil"/>
              <w:right w:val="nil"/>
            </w:tcBorders>
          </w:tcPr>
          <w:p w:rsidR="00DC082C" w:rsidRDefault="00DC082C" w:rsidP="001570E9">
            <w:pPr>
              <w:rPr>
                <w:b/>
              </w:rPr>
            </w:pPr>
            <w:r>
              <w:rPr>
                <w:b/>
              </w:rPr>
              <w:t>Comments Due</w:t>
            </w:r>
          </w:p>
        </w:tc>
        <w:tc>
          <w:tcPr>
            <w:tcW w:w="2282" w:type="dxa"/>
            <w:tcBorders>
              <w:top w:val="nil"/>
              <w:left w:val="nil"/>
              <w:right w:val="nil"/>
            </w:tcBorders>
          </w:tcPr>
          <w:p w:rsidR="00DC082C" w:rsidRDefault="00DC082C" w:rsidP="001570E9">
            <w:pPr>
              <w:rPr>
                <w:b/>
              </w:rPr>
            </w:pPr>
            <w:r>
              <w:rPr>
                <w:b/>
              </w:rPr>
              <w:t>Regulation</w:t>
            </w:r>
          </w:p>
        </w:tc>
        <w:tc>
          <w:tcPr>
            <w:tcW w:w="1411" w:type="dxa"/>
            <w:tcBorders>
              <w:top w:val="nil"/>
              <w:left w:val="nil"/>
              <w:right w:val="nil"/>
            </w:tcBorders>
          </w:tcPr>
          <w:p w:rsidR="00DC082C" w:rsidRDefault="00DC082C" w:rsidP="001570E9">
            <w:pPr>
              <w:rPr>
                <w:b/>
              </w:rPr>
            </w:pPr>
            <w:r>
              <w:rPr>
                <w:b/>
              </w:rPr>
              <w:t>Citation</w:t>
            </w:r>
          </w:p>
        </w:tc>
        <w:tc>
          <w:tcPr>
            <w:tcW w:w="8205" w:type="dxa"/>
            <w:tcBorders>
              <w:top w:val="nil"/>
              <w:left w:val="nil"/>
              <w:right w:val="nil"/>
            </w:tcBorders>
          </w:tcPr>
          <w:p w:rsidR="00DC082C" w:rsidRDefault="00DC082C" w:rsidP="001570E9">
            <w:pPr>
              <w:rPr>
                <w:b/>
              </w:rPr>
            </w:pPr>
            <w:r>
              <w:rPr>
                <w:b/>
              </w:rPr>
              <w:t>Summary</w:t>
            </w:r>
          </w:p>
        </w:tc>
      </w:tr>
      <w:tr w:rsidR="00214AF8" w:rsidRPr="00967605" w:rsidTr="001570E9">
        <w:tc>
          <w:tcPr>
            <w:tcW w:w="1278" w:type="dxa"/>
          </w:tcPr>
          <w:p w:rsidR="00214AF8" w:rsidRDefault="00214AF8" w:rsidP="001570E9">
            <w:r>
              <w:t>10/18/16</w:t>
            </w:r>
          </w:p>
        </w:tc>
        <w:tc>
          <w:tcPr>
            <w:tcW w:w="2282" w:type="dxa"/>
          </w:tcPr>
          <w:p w:rsidR="00214AF8" w:rsidRDefault="004570E5" w:rsidP="001570E9">
            <w:hyperlink r:id="rId16" w:history="1">
              <w:r w:rsidR="00214AF8" w:rsidRPr="003957A6">
                <w:rPr>
                  <w:rStyle w:val="Hyperlink"/>
                </w:rPr>
                <w:t>KYOB / TRID (RESPA &amp; Regulation Z)</w:t>
              </w:r>
            </w:hyperlink>
          </w:p>
        </w:tc>
        <w:tc>
          <w:tcPr>
            <w:tcW w:w="1411" w:type="dxa"/>
          </w:tcPr>
          <w:p w:rsidR="00214AF8" w:rsidRDefault="004570E5" w:rsidP="001570E9">
            <w:hyperlink r:id="rId17" w:history="1">
              <w:r w:rsidR="003957A6" w:rsidRPr="003957A6">
                <w:rPr>
                  <w:rStyle w:val="Hyperlink"/>
                </w:rPr>
                <w:t>81 FR 54317</w:t>
              </w:r>
            </w:hyperlink>
          </w:p>
        </w:tc>
        <w:tc>
          <w:tcPr>
            <w:tcW w:w="8205" w:type="dxa"/>
          </w:tcPr>
          <w:p w:rsidR="00214AF8" w:rsidRPr="00006B79" w:rsidRDefault="003957A6" w:rsidP="00006B79">
            <w:pPr>
              <w:pStyle w:val="NormalWeb"/>
              <w:spacing w:after="0"/>
              <w:rPr>
                <w:rFonts w:asciiTheme="minorHAnsi" w:eastAsiaTheme="minorEastAsia" w:hAnsiTheme="minorHAnsi" w:cstheme="minorBidi"/>
                <w:sz w:val="22"/>
                <w:szCs w:val="22"/>
              </w:rPr>
            </w:pPr>
            <w:r w:rsidRPr="003957A6">
              <w:rPr>
                <w:rFonts w:asciiTheme="minorHAnsi" w:eastAsiaTheme="minorEastAsia" w:hAnsiTheme="minorHAnsi" w:cstheme="minorBidi"/>
                <w:sz w:val="22"/>
                <w:szCs w:val="22"/>
              </w:rPr>
              <w:t>The proposed amendments memorialize the Bureau's informal guidance on various issues and include clarifications and technical amendments. The Bureau is also proposing tolerance provisions for the total of payments, an adjustment to a partial exemption mainly affecting housing finance agencies and nonprofits, extension of coverage of the integrated disclosure requirements to all cooperative units, and guidance on sharing the disclosures with various parties involved in the mortgage origination process.</w:t>
            </w:r>
          </w:p>
        </w:tc>
      </w:tr>
      <w:tr w:rsidR="00DC082C" w:rsidRPr="00967605" w:rsidTr="001570E9">
        <w:tc>
          <w:tcPr>
            <w:tcW w:w="1278" w:type="dxa"/>
          </w:tcPr>
          <w:p w:rsidR="00DC082C" w:rsidRPr="000E1F7A" w:rsidRDefault="00006B79" w:rsidP="001570E9">
            <w:r>
              <w:t>10/07/16</w:t>
            </w:r>
          </w:p>
        </w:tc>
        <w:tc>
          <w:tcPr>
            <w:tcW w:w="2282" w:type="dxa"/>
          </w:tcPr>
          <w:p w:rsidR="00DC082C" w:rsidRPr="000E1F7A" w:rsidRDefault="004570E5" w:rsidP="001570E9">
            <w:hyperlink r:id="rId18" w:history="1">
              <w:r w:rsidR="00006B79" w:rsidRPr="00006B79">
                <w:rPr>
                  <w:rStyle w:val="Hyperlink"/>
                </w:rPr>
                <w:t>SBA 504 Loan Programs</w:t>
              </w:r>
            </w:hyperlink>
          </w:p>
        </w:tc>
        <w:tc>
          <w:tcPr>
            <w:tcW w:w="1411" w:type="dxa"/>
          </w:tcPr>
          <w:p w:rsidR="00DC082C" w:rsidRPr="000E1F7A" w:rsidRDefault="004570E5" w:rsidP="001570E9">
            <w:hyperlink r:id="rId19" w:history="1">
              <w:r w:rsidR="00006B79" w:rsidRPr="00006B79">
                <w:rPr>
                  <w:rStyle w:val="Hyperlink"/>
                </w:rPr>
                <w:t>81 FR 52595</w:t>
              </w:r>
            </w:hyperlink>
          </w:p>
        </w:tc>
        <w:tc>
          <w:tcPr>
            <w:tcW w:w="8205" w:type="dxa"/>
          </w:tcPr>
          <w:p w:rsidR="00006B79" w:rsidRPr="00006B79" w:rsidRDefault="00006B79" w:rsidP="00006B79">
            <w:pPr>
              <w:pStyle w:val="NormalWeb"/>
              <w:spacing w:after="0"/>
              <w:rPr>
                <w:rFonts w:asciiTheme="minorHAnsi" w:eastAsiaTheme="minorEastAsia" w:hAnsiTheme="minorHAnsi" w:cstheme="minorBidi"/>
                <w:sz w:val="22"/>
                <w:szCs w:val="22"/>
              </w:rPr>
            </w:pPr>
            <w:proofErr w:type="gramStart"/>
            <w:r w:rsidRPr="00006B79">
              <w:rPr>
                <w:rFonts w:asciiTheme="minorHAnsi" w:eastAsiaTheme="minorEastAsia" w:hAnsiTheme="minorHAnsi" w:cstheme="minorBidi"/>
                <w:sz w:val="22"/>
                <w:szCs w:val="22"/>
              </w:rPr>
              <w:t>The proposed changes include redefining cooperative businesses as eligible for SBA-backed loans; clarifying terms related to eligible passive companies, including expanding SBA’s discretion to require personal guarantees from minority owners; providing more lender flexibility on when base rates are determined and when variable rates are adjusted; clarifying what fees lenders may or may not collect from loan applicants; and expanding the pool of parties who are permitted access to lender information when needed t</w:t>
            </w:r>
            <w:r>
              <w:rPr>
                <w:rFonts w:asciiTheme="minorHAnsi" w:eastAsiaTheme="minorEastAsia" w:hAnsiTheme="minorHAnsi" w:cstheme="minorBidi"/>
                <w:sz w:val="22"/>
                <w:szCs w:val="22"/>
              </w:rPr>
              <w:t>o avoid case-by-case approvals.</w:t>
            </w:r>
            <w:proofErr w:type="gramEnd"/>
          </w:p>
          <w:p w:rsidR="00DC082C" w:rsidRPr="00C950B3" w:rsidRDefault="00006B79" w:rsidP="00006B79">
            <w:pPr>
              <w:pStyle w:val="NormalWeb"/>
              <w:spacing w:before="0" w:beforeAutospacing="0" w:after="0" w:afterAutospacing="0"/>
              <w:rPr>
                <w:rFonts w:asciiTheme="minorHAnsi" w:eastAsiaTheme="minorEastAsia" w:hAnsiTheme="minorHAnsi" w:cstheme="minorBidi"/>
                <w:sz w:val="22"/>
                <w:szCs w:val="22"/>
              </w:rPr>
            </w:pPr>
            <w:r w:rsidRPr="00006B79">
              <w:rPr>
                <w:rFonts w:asciiTheme="minorHAnsi" w:eastAsiaTheme="minorEastAsia" w:hAnsiTheme="minorHAnsi" w:cstheme="minorBidi"/>
                <w:sz w:val="22"/>
                <w:szCs w:val="22"/>
              </w:rPr>
              <w:t xml:space="preserve">The proposal includes amendments to reflect updated technology or practices, such as </w:t>
            </w:r>
            <w:r w:rsidRPr="00006B79">
              <w:rPr>
                <w:rFonts w:asciiTheme="minorHAnsi" w:eastAsiaTheme="minorEastAsia" w:hAnsiTheme="minorHAnsi" w:cstheme="minorBidi"/>
                <w:sz w:val="22"/>
                <w:szCs w:val="22"/>
              </w:rPr>
              <w:lastRenderedPageBreak/>
              <w:t xml:space="preserve">revising guidelines for paying guaranty fees to reflect electronic payments and removing language describing “on-site” exams. It would also specify that SBA </w:t>
            </w:r>
            <w:proofErr w:type="gramStart"/>
            <w:r w:rsidRPr="00006B79">
              <w:rPr>
                <w:rFonts w:asciiTheme="minorHAnsi" w:eastAsiaTheme="minorEastAsia" w:hAnsiTheme="minorHAnsi" w:cstheme="minorBidi"/>
                <w:sz w:val="22"/>
                <w:szCs w:val="22"/>
              </w:rPr>
              <w:t>can</w:t>
            </w:r>
            <w:proofErr w:type="gramEnd"/>
            <w:r w:rsidRPr="00006B79">
              <w:rPr>
                <w:rFonts w:asciiTheme="minorHAnsi" w:eastAsiaTheme="minorEastAsia" w:hAnsiTheme="minorHAnsi" w:cstheme="minorBidi"/>
                <w:sz w:val="22"/>
                <w:szCs w:val="22"/>
              </w:rPr>
              <w:t xml:space="preserve"> charge lenders the actual cost of reviews and assessments associated with additional oversight, rather than apportioning those expenses among all lenders.</w:t>
            </w:r>
          </w:p>
        </w:tc>
      </w:tr>
    </w:tbl>
    <w:p w:rsidR="000C6F62" w:rsidRDefault="000C6F62" w:rsidP="000C6F62">
      <w:pPr>
        <w:spacing w:before="240" w:after="0"/>
        <w:rPr>
          <w:b/>
          <w:sz w:val="28"/>
          <w:szCs w:val="28"/>
        </w:rPr>
      </w:pPr>
      <w:r>
        <w:rPr>
          <w:b/>
          <w:sz w:val="28"/>
          <w:szCs w:val="28"/>
        </w:rPr>
        <w:lastRenderedPageBreak/>
        <w:t>RESOURCES</w:t>
      </w:r>
      <w:r w:rsidR="008756E8">
        <w:rPr>
          <w:b/>
          <w:sz w:val="28"/>
          <w:szCs w:val="28"/>
        </w:rPr>
        <w:t>/GUIDANCE</w:t>
      </w:r>
    </w:p>
    <w:tbl>
      <w:tblPr>
        <w:tblStyle w:val="TableGrid"/>
        <w:tblW w:w="13158" w:type="dxa"/>
        <w:tblLook w:val="04A0" w:firstRow="1" w:lastRow="0" w:firstColumn="1" w:lastColumn="0" w:noHBand="0" w:noVBand="1"/>
      </w:tblPr>
      <w:tblGrid>
        <w:gridCol w:w="2283"/>
        <w:gridCol w:w="10875"/>
      </w:tblGrid>
      <w:tr w:rsidR="000C6F62" w:rsidTr="000C6F62">
        <w:tc>
          <w:tcPr>
            <w:tcW w:w="2283" w:type="dxa"/>
            <w:tcBorders>
              <w:top w:val="nil"/>
              <w:left w:val="nil"/>
              <w:right w:val="nil"/>
            </w:tcBorders>
          </w:tcPr>
          <w:p w:rsidR="000C6F62" w:rsidRDefault="000C6F62" w:rsidP="00A37101">
            <w:pPr>
              <w:rPr>
                <w:b/>
              </w:rPr>
            </w:pPr>
            <w:r>
              <w:rPr>
                <w:b/>
              </w:rPr>
              <w:t>Guidance</w:t>
            </w:r>
          </w:p>
        </w:tc>
        <w:tc>
          <w:tcPr>
            <w:tcW w:w="10875" w:type="dxa"/>
            <w:tcBorders>
              <w:top w:val="nil"/>
              <w:left w:val="nil"/>
              <w:right w:val="nil"/>
            </w:tcBorders>
          </w:tcPr>
          <w:p w:rsidR="000C6F62" w:rsidRDefault="000C6F62" w:rsidP="00A37101">
            <w:pPr>
              <w:rPr>
                <w:b/>
              </w:rPr>
            </w:pPr>
            <w:r>
              <w:rPr>
                <w:b/>
              </w:rPr>
              <w:t>Summary</w:t>
            </w:r>
          </w:p>
        </w:tc>
      </w:tr>
      <w:tr w:rsidR="00B355D2" w:rsidRPr="00967605" w:rsidTr="000C6F62">
        <w:tc>
          <w:tcPr>
            <w:tcW w:w="2283" w:type="dxa"/>
          </w:tcPr>
          <w:p w:rsidR="00B355D2" w:rsidRDefault="004570E5" w:rsidP="00A37101">
            <w:hyperlink r:id="rId20" w:history="1">
              <w:r w:rsidR="003957A6" w:rsidRPr="00936582">
                <w:rPr>
                  <w:rStyle w:val="Hyperlink"/>
                </w:rPr>
                <w:t>Loss Mitigation Principles</w:t>
              </w:r>
            </w:hyperlink>
          </w:p>
        </w:tc>
        <w:tc>
          <w:tcPr>
            <w:tcW w:w="10875" w:type="dxa"/>
          </w:tcPr>
          <w:p w:rsidR="00B355D2" w:rsidRPr="00B819BC" w:rsidRDefault="003957A6" w:rsidP="00936582">
            <w:pPr>
              <w:pStyle w:val="NormalWeb"/>
              <w:spacing w:after="0"/>
              <w:rPr>
                <w:rFonts w:asciiTheme="minorHAnsi" w:hAnsiTheme="minorHAnsi" w:cs="Arial"/>
                <w:color w:val="4F4F52"/>
                <w:sz w:val="22"/>
                <w:szCs w:val="22"/>
                <w:shd w:val="clear" w:color="auto" w:fill="FFFFFF"/>
              </w:rPr>
            </w:pPr>
            <w:r w:rsidRPr="00936582">
              <w:rPr>
                <w:rFonts w:asciiTheme="minorHAnsi" w:hAnsiTheme="minorHAnsi" w:cs="Arial"/>
                <w:sz w:val="22"/>
                <w:szCs w:val="22"/>
                <w:shd w:val="clear" w:color="auto" w:fill="FFFFFF"/>
              </w:rPr>
              <w:t>The CFPB and HUD released principles for loss mitigations in re</w:t>
            </w:r>
            <w:r w:rsidR="00936582" w:rsidRPr="00936582">
              <w:rPr>
                <w:rFonts w:asciiTheme="minorHAnsi" w:hAnsiTheme="minorHAnsi" w:cs="Arial"/>
                <w:sz w:val="22"/>
                <w:szCs w:val="22"/>
                <w:shd w:val="clear" w:color="auto" w:fill="FFFFFF"/>
              </w:rPr>
              <w:t>spo</w:t>
            </w:r>
            <w:r w:rsidRPr="00936582">
              <w:rPr>
                <w:rFonts w:asciiTheme="minorHAnsi" w:hAnsiTheme="minorHAnsi" w:cs="Arial"/>
                <w:sz w:val="22"/>
                <w:szCs w:val="22"/>
                <w:shd w:val="clear" w:color="auto" w:fill="FFFFFF"/>
              </w:rPr>
              <w:t xml:space="preserve">nse to the mortgage crisis and the phasing out of HAMP.  </w:t>
            </w:r>
            <w:proofErr w:type="gramStart"/>
            <w:r w:rsidR="00936582" w:rsidRPr="00936582">
              <w:rPr>
                <w:rFonts w:asciiTheme="minorHAnsi" w:hAnsiTheme="minorHAnsi" w:cs="Arial"/>
                <w:sz w:val="22"/>
                <w:szCs w:val="22"/>
                <w:shd w:val="clear" w:color="auto" w:fill="FFFFFF"/>
              </w:rPr>
              <w:t>The principles include:  Accessibility: Ensuring that there is a simple process in place for homeowners to seek mortgage assistance and that as many homeowners as possible are able to easily obtain the needed and appropriate level of assistance; Affordability: Providing homeowners with meaningful payment relief that addresses the needs of the homeowner, the servicer and the investor, to support long-term performance; Sustainability: Offering solutions designed to resolve the delinquency and be effective long-term for the homeowner, the servicer and the investor; Transparency: Ensuring that the process to obtain assistance, and the terms of that assistance, are as clear and understandable as possible to homeowners, and that information about options and their utilization is available to the appropriate parties; Accountability: Ensuring that there is an appropriate level of oversight of the process to obtain mortgage assistance for the protection of all parties.</w:t>
            </w:r>
            <w:proofErr w:type="gramEnd"/>
          </w:p>
        </w:tc>
      </w:tr>
      <w:tr w:rsidR="003B2BCF" w:rsidRPr="00967605" w:rsidTr="000C6F62">
        <w:tc>
          <w:tcPr>
            <w:tcW w:w="2283" w:type="dxa"/>
          </w:tcPr>
          <w:p w:rsidR="003B2BCF" w:rsidRDefault="004570E5" w:rsidP="00A37101">
            <w:hyperlink r:id="rId21" w:history="1">
              <w:r w:rsidR="00936582" w:rsidRPr="00936582">
                <w:rPr>
                  <w:rStyle w:val="Hyperlink"/>
                </w:rPr>
                <w:t>Reporting MBLs, Legal Opinion Letter 16-0604</w:t>
              </w:r>
            </w:hyperlink>
          </w:p>
        </w:tc>
        <w:tc>
          <w:tcPr>
            <w:tcW w:w="10875" w:type="dxa"/>
          </w:tcPr>
          <w:p w:rsidR="003B2BCF" w:rsidRPr="00936582" w:rsidRDefault="00936582" w:rsidP="00936582">
            <w:pPr>
              <w:pStyle w:val="NormalWeb"/>
              <w:spacing w:after="0"/>
              <w:rPr>
                <w:rFonts w:asciiTheme="minorHAnsi" w:eastAsiaTheme="minorEastAsia" w:hAnsiTheme="minorHAnsi" w:cstheme="minorBidi"/>
                <w:sz w:val="22"/>
                <w:szCs w:val="22"/>
              </w:rPr>
            </w:pPr>
            <w:r w:rsidRPr="00936582">
              <w:rPr>
                <w:rFonts w:asciiTheme="minorHAnsi" w:eastAsiaTheme="minorEastAsia" w:hAnsiTheme="minorHAnsi" w:cstheme="minorBidi"/>
                <w:sz w:val="22"/>
                <w:szCs w:val="22"/>
              </w:rPr>
              <w:t xml:space="preserve">On August 9, the NCUA issued a legal opinion letter regarding </w:t>
            </w:r>
            <w:r>
              <w:rPr>
                <w:rFonts w:asciiTheme="minorHAnsi" w:eastAsiaTheme="minorEastAsia" w:hAnsiTheme="minorHAnsi" w:cstheme="minorBidi"/>
                <w:sz w:val="22"/>
                <w:szCs w:val="22"/>
              </w:rPr>
              <w:t>Federal credit union’s</w:t>
            </w:r>
            <w:r w:rsidRPr="00936582">
              <w:rPr>
                <w:rFonts w:asciiTheme="minorHAnsi" w:eastAsiaTheme="minorEastAsia" w:hAnsiTheme="minorHAnsi" w:cstheme="minorBidi"/>
                <w:sz w:val="22"/>
                <w:szCs w:val="22"/>
              </w:rPr>
              <w:t xml:space="preserve"> classification of</w:t>
            </w:r>
            <w:r>
              <w:rPr>
                <w:rFonts w:asciiTheme="minorHAnsi" w:eastAsiaTheme="minorEastAsia" w:hAnsiTheme="minorHAnsi" w:cstheme="minorBidi"/>
                <w:sz w:val="22"/>
                <w:szCs w:val="22"/>
              </w:rPr>
              <w:t xml:space="preserve"> business loans.  W</w:t>
            </w:r>
            <w:r w:rsidRPr="00936582">
              <w:rPr>
                <w:rFonts w:asciiTheme="minorHAnsi" w:eastAsiaTheme="minorEastAsia" w:hAnsiTheme="minorHAnsi" w:cstheme="minorBidi"/>
                <w:sz w:val="22"/>
                <w:szCs w:val="22"/>
              </w:rPr>
              <w:t xml:space="preserve">hen a single closed-end member business loan </w:t>
            </w:r>
            <w:proofErr w:type="gramStart"/>
            <w:r w:rsidRPr="00936582">
              <w:rPr>
                <w:rFonts w:asciiTheme="minorHAnsi" w:eastAsiaTheme="minorEastAsia" w:hAnsiTheme="minorHAnsi" w:cstheme="minorBidi"/>
                <w:sz w:val="22"/>
                <w:szCs w:val="22"/>
              </w:rPr>
              <w:t>is paid</w:t>
            </w:r>
            <w:proofErr w:type="gramEnd"/>
            <w:r w:rsidRPr="00936582">
              <w:rPr>
                <w:rFonts w:asciiTheme="minorHAnsi" w:eastAsiaTheme="minorEastAsia" w:hAnsiTheme="minorHAnsi" w:cstheme="minorBidi"/>
                <w:sz w:val="22"/>
                <w:szCs w:val="22"/>
              </w:rPr>
              <w:t xml:space="preserve"> down below the $50,000 threshold, the credit union no longer needs to classify the loan as a MBL.  Nor does the credit union include the loan when calculating the credit union’s statutory MBL limit.</w:t>
            </w:r>
          </w:p>
        </w:tc>
      </w:tr>
      <w:tr w:rsidR="000C6F62" w:rsidRPr="00967605" w:rsidTr="000C6F62">
        <w:tc>
          <w:tcPr>
            <w:tcW w:w="2283" w:type="dxa"/>
          </w:tcPr>
          <w:p w:rsidR="000C6F62" w:rsidRPr="000E1F7A" w:rsidRDefault="004570E5" w:rsidP="00A37101">
            <w:hyperlink r:id="rId22" w:history="1">
              <w:r w:rsidR="00936582" w:rsidRPr="00936582">
                <w:rPr>
                  <w:rStyle w:val="Hyperlink"/>
                </w:rPr>
                <w:t>NMLS Browser Requirements</w:t>
              </w:r>
            </w:hyperlink>
          </w:p>
        </w:tc>
        <w:tc>
          <w:tcPr>
            <w:tcW w:w="10875" w:type="dxa"/>
          </w:tcPr>
          <w:p w:rsidR="000C6F62" w:rsidRPr="007761FF" w:rsidRDefault="00936582" w:rsidP="00C012BB">
            <w:pPr>
              <w:pStyle w:val="NormalWeb"/>
              <w:spacing w:after="0"/>
              <w:rPr>
                <w:rFonts w:asciiTheme="minorHAnsi" w:hAnsiTheme="minorHAnsi"/>
                <w:sz w:val="22"/>
                <w:szCs w:val="22"/>
                <w:lang w:val="en-CA"/>
              </w:rPr>
            </w:pPr>
            <w:r>
              <w:rPr>
                <w:rFonts w:asciiTheme="minorHAnsi" w:hAnsiTheme="minorHAnsi"/>
                <w:sz w:val="22"/>
                <w:szCs w:val="22"/>
                <w:lang w:val="en-CA"/>
              </w:rPr>
              <w:t>S</w:t>
            </w:r>
            <w:r w:rsidRPr="00936582">
              <w:rPr>
                <w:rFonts w:asciiTheme="minorHAnsi" w:hAnsiTheme="minorHAnsi"/>
                <w:sz w:val="22"/>
                <w:szCs w:val="22"/>
                <w:lang w:val="en-CA"/>
              </w:rPr>
              <w:t>tarting August 22, NMLS users who are not using internet browsers that support TLS 1.2 will need to upgrade by October 8. After October 8, users who have not upgraded their browsers will be restricted from accessing NMLS until they have downloaded a version that supports TLS 1.2.</w:t>
            </w:r>
          </w:p>
        </w:tc>
      </w:tr>
      <w:tr w:rsidR="00F76BD4" w:rsidRPr="00967605" w:rsidTr="000C6F62">
        <w:tc>
          <w:tcPr>
            <w:tcW w:w="2283" w:type="dxa"/>
          </w:tcPr>
          <w:p w:rsidR="00F76BD4" w:rsidRDefault="004570E5" w:rsidP="00A37101">
            <w:hyperlink r:id="rId23" w:history="1">
              <w:r w:rsidR="00936582" w:rsidRPr="00936582">
                <w:rPr>
                  <w:rStyle w:val="Hyperlink"/>
                </w:rPr>
                <w:t>Washington State Consumer Complaint Process</w:t>
              </w:r>
            </w:hyperlink>
            <w:r w:rsidR="00166BE9">
              <w:t xml:space="preserve"> Bulletin B-16-10</w:t>
            </w:r>
          </w:p>
        </w:tc>
        <w:tc>
          <w:tcPr>
            <w:tcW w:w="10875" w:type="dxa"/>
          </w:tcPr>
          <w:p w:rsidR="00F76BD4" w:rsidRPr="007761FF" w:rsidRDefault="00166BE9" w:rsidP="00F76BD4">
            <w:pPr>
              <w:pStyle w:val="NormalWeb"/>
              <w:spacing w:after="0"/>
              <w:rPr>
                <w:rFonts w:asciiTheme="minorHAnsi" w:hAnsiTheme="minorHAnsi"/>
                <w:sz w:val="22"/>
                <w:szCs w:val="22"/>
                <w:lang w:val="en-CA"/>
              </w:rPr>
            </w:pPr>
            <w:r>
              <w:rPr>
                <w:rFonts w:asciiTheme="minorHAnsi" w:hAnsiTheme="minorHAnsi"/>
                <w:sz w:val="22"/>
                <w:szCs w:val="22"/>
                <w:lang w:val="en-CA"/>
              </w:rPr>
              <w:t xml:space="preserve">The DCU announced that it </w:t>
            </w:r>
            <w:proofErr w:type="gramStart"/>
            <w:r>
              <w:rPr>
                <w:rFonts w:asciiTheme="minorHAnsi" w:hAnsiTheme="minorHAnsi"/>
                <w:sz w:val="22"/>
                <w:szCs w:val="22"/>
                <w:lang w:val="en-CA"/>
              </w:rPr>
              <w:t>will</w:t>
            </w:r>
            <w:proofErr w:type="gramEnd"/>
            <w:r>
              <w:rPr>
                <w:rFonts w:asciiTheme="minorHAnsi" w:hAnsiTheme="minorHAnsi"/>
                <w:sz w:val="22"/>
                <w:szCs w:val="22"/>
                <w:lang w:val="en-CA"/>
              </w:rPr>
              <w:t xml:space="preserve"> be transitioning to encrypted emails for notifying credit unions of filed complaints.  Credit unions should submit point of contacts to receive complaint notification from the DCU by September 15.</w:t>
            </w:r>
          </w:p>
        </w:tc>
      </w:tr>
      <w:tr w:rsidR="008756E8" w:rsidRPr="00967605" w:rsidTr="000C6F62">
        <w:tc>
          <w:tcPr>
            <w:tcW w:w="2283" w:type="dxa"/>
          </w:tcPr>
          <w:p w:rsidR="008756E8" w:rsidRDefault="004570E5" w:rsidP="00A37101">
            <w:hyperlink r:id="rId24" w:history="1">
              <w:r w:rsidR="00166BE9" w:rsidRPr="00166BE9">
                <w:rPr>
                  <w:rStyle w:val="Hyperlink"/>
                </w:rPr>
                <w:t>Student Loan Fix-It Form</w:t>
              </w:r>
            </w:hyperlink>
          </w:p>
        </w:tc>
        <w:tc>
          <w:tcPr>
            <w:tcW w:w="10875" w:type="dxa"/>
          </w:tcPr>
          <w:p w:rsidR="008756E8" w:rsidRDefault="000E5295" w:rsidP="00503A84">
            <w:pPr>
              <w:pStyle w:val="NormalWeb"/>
              <w:spacing w:after="0"/>
              <w:rPr>
                <w:rFonts w:asciiTheme="minorHAnsi" w:hAnsiTheme="minorHAnsi"/>
                <w:sz w:val="22"/>
                <w:szCs w:val="22"/>
                <w:lang w:val="en-CA"/>
              </w:rPr>
            </w:pPr>
            <w:r>
              <w:rPr>
                <w:rFonts w:asciiTheme="minorHAnsi" w:hAnsiTheme="minorHAnsi"/>
                <w:sz w:val="22"/>
                <w:szCs w:val="22"/>
                <w:lang w:val="en-CA"/>
              </w:rPr>
              <w:t xml:space="preserve">The CFPB released a Fix-It form that student loan borrowers may use to assist in income-driven repayment plans.  If the credit union services student loans, it should review the form, as borrowers may present it when attempting to </w:t>
            </w:r>
            <w:r>
              <w:rPr>
                <w:rFonts w:asciiTheme="minorHAnsi" w:hAnsiTheme="minorHAnsi"/>
                <w:sz w:val="22"/>
                <w:szCs w:val="22"/>
                <w:lang w:val="en-CA"/>
              </w:rPr>
              <w:lastRenderedPageBreak/>
              <w:t xml:space="preserve">adjust their repayments.  The form does include a ‘respond by’ date that the borrower will expect the credit union to act </w:t>
            </w:r>
            <w:proofErr w:type="gramStart"/>
            <w:r>
              <w:rPr>
                <w:rFonts w:asciiTheme="minorHAnsi" w:hAnsiTheme="minorHAnsi"/>
                <w:sz w:val="22"/>
                <w:szCs w:val="22"/>
                <w:lang w:val="en-CA"/>
              </w:rPr>
              <w:t>by</w:t>
            </w:r>
            <w:proofErr w:type="gramEnd"/>
            <w:r>
              <w:rPr>
                <w:rFonts w:asciiTheme="minorHAnsi" w:hAnsiTheme="minorHAnsi"/>
                <w:sz w:val="22"/>
                <w:szCs w:val="22"/>
                <w:lang w:val="en-CA"/>
              </w:rPr>
              <w:t>.</w:t>
            </w:r>
          </w:p>
        </w:tc>
      </w:tr>
    </w:tbl>
    <w:p w:rsidR="000C6F62" w:rsidRDefault="00936582" w:rsidP="00D1188B">
      <w:r>
        <w:lastRenderedPageBreak/>
        <w:t xml:space="preserve"> </w:t>
      </w:r>
    </w:p>
    <w:p w:rsidR="0007572E" w:rsidRDefault="0007572E"/>
    <w:p w:rsidR="007E5A30" w:rsidRDefault="007E5A30" w:rsidP="00D830AA"/>
    <w:sectPr w:rsidR="007E5A30" w:rsidSect="004670B2">
      <w:headerReference w:type="default" r:id="rId25"/>
      <w:foot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5C" w:rsidRDefault="008B5C5C" w:rsidP="009516FB">
      <w:pPr>
        <w:spacing w:after="0" w:line="240" w:lineRule="auto"/>
      </w:pPr>
      <w:r>
        <w:separator/>
      </w:r>
    </w:p>
  </w:endnote>
  <w:endnote w:type="continuationSeparator" w:id="0">
    <w:p w:rsidR="008B5C5C" w:rsidRDefault="008B5C5C" w:rsidP="0095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FB" w:rsidRDefault="00C5176C" w:rsidP="009516FB">
    <w:pPr>
      <w:pStyle w:val="Footer"/>
      <w:jc w:val="right"/>
    </w:pPr>
    <w:r>
      <w:rPr>
        <w:noProof/>
      </w:rPr>
      <w:drawing>
        <wp:inline distT="0" distB="0" distL="0" distR="0" wp14:anchorId="7666BC11" wp14:editId="5E49D36E">
          <wp:extent cx="213360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13105"/>
                  </a:xfrm>
                  <a:prstGeom prst="rect">
                    <a:avLst/>
                  </a:prstGeom>
                  <a:noFill/>
                </pic:spPr>
              </pic:pic>
            </a:graphicData>
          </a:graphic>
        </wp:inline>
      </w:drawing>
    </w:r>
    <w:r>
      <w:t xml:space="preserve">                                                  </w:t>
    </w:r>
    <w:r w:rsidR="00526961">
      <w:t xml:space="preserve">Legislative Update </w:t>
    </w:r>
    <w:r w:rsidR="00D770D9">
      <w:t>August</w:t>
    </w:r>
    <w:r w:rsidR="0042461E">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5C" w:rsidRDefault="008B5C5C" w:rsidP="009516FB">
      <w:pPr>
        <w:spacing w:after="0" w:line="240" w:lineRule="auto"/>
      </w:pPr>
      <w:r>
        <w:separator/>
      </w:r>
    </w:p>
  </w:footnote>
  <w:footnote w:type="continuationSeparator" w:id="0">
    <w:p w:rsidR="008B5C5C" w:rsidRDefault="008B5C5C" w:rsidP="00951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28335"/>
      <w:docPartObj>
        <w:docPartGallery w:val="Page Numbers (Top of Page)"/>
        <w:docPartUnique/>
      </w:docPartObj>
    </w:sdtPr>
    <w:sdtEndPr>
      <w:rPr>
        <w:noProof/>
      </w:rPr>
    </w:sdtEndPr>
    <w:sdtContent>
      <w:p w:rsidR="00A54A69" w:rsidRDefault="00A54A69">
        <w:pPr>
          <w:pStyle w:val="Header"/>
          <w:jc w:val="right"/>
        </w:pPr>
        <w:r>
          <w:fldChar w:fldCharType="begin"/>
        </w:r>
        <w:r>
          <w:instrText xml:space="preserve"> PAGE   \* MERGEFORMAT </w:instrText>
        </w:r>
        <w:r>
          <w:fldChar w:fldCharType="separate"/>
        </w:r>
        <w:r w:rsidR="004570E5">
          <w:rPr>
            <w:noProof/>
          </w:rPr>
          <w:t>1</w:t>
        </w:r>
        <w:r>
          <w:rPr>
            <w:noProof/>
          </w:rPr>
          <w:fldChar w:fldCharType="end"/>
        </w:r>
      </w:p>
    </w:sdtContent>
  </w:sdt>
  <w:p w:rsidR="007E5A30" w:rsidRDefault="007E5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6EF"/>
    <w:multiLevelType w:val="multilevel"/>
    <w:tmpl w:val="C3AE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20100"/>
    <w:multiLevelType w:val="hybridMultilevel"/>
    <w:tmpl w:val="F42E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7D9B"/>
    <w:multiLevelType w:val="hybridMultilevel"/>
    <w:tmpl w:val="58F067C4"/>
    <w:lvl w:ilvl="0" w:tplc="141CB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A3CB8"/>
    <w:multiLevelType w:val="hybridMultilevel"/>
    <w:tmpl w:val="6C348528"/>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F03A7"/>
    <w:multiLevelType w:val="hybridMultilevel"/>
    <w:tmpl w:val="8A8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75FE3"/>
    <w:multiLevelType w:val="hybridMultilevel"/>
    <w:tmpl w:val="D51E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B3667"/>
    <w:multiLevelType w:val="hybridMultilevel"/>
    <w:tmpl w:val="BE043168"/>
    <w:lvl w:ilvl="0" w:tplc="8D5A2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11F3F"/>
    <w:multiLevelType w:val="hybridMultilevel"/>
    <w:tmpl w:val="100C1B8E"/>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26A89"/>
    <w:multiLevelType w:val="multilevel"/>
    <w:tmpl w:val="9316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810930"/>
    <w:multiLevelType w:val="hybridMultilevel"/>
    <w:tmpl w:val="BE984502"/>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517DE"/>
    <w:multiLevelType w:val="multilevel"/>
    <w:tmpl w:val="9A8E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822BA"/>
    <w:multiLevelType w:val="hybridMultilevel"/>
    <w:tmpl w:val="C42A2EC0"/>
    <w:lvl w:ilvl="0" w:tplc="6A388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7"/>
  </w:num>
  <w:num w:numId="8">
    <w:abstractNumId w:val="6"/>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B2"/>
    <w:rsid w:val="00001E88"/>
    <w:rsid w:val="00006B79"/>
    <w:rsid w:val="00011112"/>
    <w:rsid w:val="00013FA8"/>
    <w:rsid w:val="00036A9E"/>
    <w:rsid w:val="0004395A"/>
    <w:rsid w:val="00050E93"/>
    <w:rsid w:val="00053D69"/>
    <w:rsid w:val="0007572E"/>
    <w:rsid w:val="000C6F62"/>
    <w:rsid w:val="000E0E4E"/>
    <w:rsid w:val="000E1F7A"/>
    <w:rsid w:val="000E5295"/>
    <w:rsid w:val="00105532"/>
    <w:rsid w:val="00105BF0"/>
    <w:rsid w:val="00114BD2"/>
    <w:rsid w:val="0012584F"/>
    <w:rsid w:val="00137A4B"/>
    <w:rsid w:val="00154381"/>
    <w:rsid w:val="00155503"/>
    <w:rsid w:val="00155BB2"/>
    <w:rsid w:val="00166BE9"/>
    <w:rsid w:val="00173106"/>
    <w:rsid w:val="00174A57"/>
    <w:rsid w:val="00176A30"/>
    <w:rsid w:val="001924F5"/>
    <w:rsid w:val="001C24FB"/>
    <w:rsid w:val="001F4193"/>
    <w:rsid w:val="00207316"/>
    <w:rsid w:val="00214AF8"/>
    <w:rsid w:val="0022595F"/>
    <w:rsid w:val="00233F19"/>
    <w:rsid w:val="002362A2"/>
    <w:rsid w:val="00251848"/>
    <w:rsid w:val="00261F16"/>
    <w:rsid w:val="002635E0"/>
    <w:rsid w:val="00265D6B"/>
    <w:rsid w:val="00272CD7"/>
    <w:rsid w:val="00274CDA"/>
    <w:rsid w:val="002B38F0"/>
    <w:rsid w:val="002B4E3D"/>
    <w:rsid w:val="002C4A0B"/>
    <w:rsid w:val="002E109D"/>
    <w:rsid w:val="002F3DF3"/>
    <w:rsid w:val="003011AF"/>
    <w:rsid w:val="003245BB"/>
    <w:rsid w:val="00356321"/>
    <w:rsid w:val="00366CE9"/>
    <w:rsid w:val="0038010D"/>
    <w:rsid w:val="003957A6"/>
    <w:rsid w:val="003B2BCF"/>
    <w:rsid w:val="003B5637"/>
    <w:rsid w:val="003B5E21"/>
    <w:rsid w:val="003C7920"/>
    <w:rsid w:val="003D64B3"/>
    <w:rsid w:val="003E0302"/>
    <w:rsid w:val="003E2AD1"/>
    <w:rsid w:val="003E70C6"/>
    <w:rsid w:val="003F618F"/>
    <w:rsid w:val="004070E9"/>
    <w:rsid w:val="0042461E"/>
    <w:rsid w:val="00435186"/>
    <w:rsid w:val="00444FFD"/>
    <w:rsid w:val="00445E61"/>
    <w:rsid w:val="00451B34"/>
    <w:rsid w:val="00451DB7"/>
    <w:rsid w:val="00453DA0"/>
    <w:rsid w:val="004570E5"/>
    <w:rsid w:val="004629C9"/>
    <w:rsid w:val="004670B2"/>
    <w:rsid w:val="0048047D"/>
    <w:rsid w:val="004B0CF2"/>
    <w:rsid w:val="004B1A12"/>
    <w:rsid w:val="004B7407"/>
    <w:rsid w:val="004C2F31"/>
    <w:rsid w:val="004C4FD5"/>
    <w:rsid w:val="004D5C8D"/>
    <w:rsid w:val="004F7B91"/>
    <w:rsid w:val="00502F4F"/>
    <w:rsid w:val="00503A84"/>
    <w:rsid w:val="00513A6B"/>
    <w:rsid w:val="005208A0"/>
    <w:rsid w:val="00525941"/>
    <w:rsid w:val="00526961"/>
    <w:rsid w:val="0057444C"/>
    <w:rsid w:val="005A164C"/>
    <w:rsid w:val="005B2EEA"/>
    <w:rsid w:val="005D4EA4"/>
    <w:rsid w:val="005F4D1E"/>
    <w:rsid w:val="00605BAB"/>
    <w:rsid w:val="00615725"/>
    <w:rsid w:val="006264E4"/>
    <w:rsid w:val="00630088"/>
    <w:rsid w:val="00630275"/>
    <w:rsid w:val="00634CA3"/>
    <w:rsid w:val="00644E58"/>
    <w:rsid w:val="006468AC"/>
    <w:rsid w:val="00667C6B"/>
    <w:rsid w:val="00672066"/>
    <w:rsid w:val="00692031"/>
    <w:rsid w:val="00693EF2"/>
    <w:rsid w:val="006A0683"/>
    <w:rsid w:val="006A7271"/>
    <w:rsid w:val="006B67AC"/>
    <w:rsid w:val="006C0A16"/>
    <w:rsid w:val="006D0C47"/>
    <w:rsid w:val="006D4256"/>
    <w:rsid w:val="006E10DB"/>
    <w:rsid w:val="007075BA"/>
    <w:rsid w:val="00710285"/>
    <w:rsid w:val="007122A3"/>
    <w:rsid w:val="00734132"/>
    <w:rsid w:val="0075139C"/>
    <w:rsid w:val="0076011C"/>
    <w:rsid w:val="007761FF"/>
    <w:rsid w:val="0079268D"/>
    <w:rsid w:val="007A49A6"/>
    <w:rsid w:val="007A4A48"/>
    <w:rsid w:val="007A78BD"/>
    <w:rsid w:val="007B2E65"/>
    <w:rsid w:val="007C7A17"/>
    <w:rsid w:val="007E2F0F"/>
    <w:rsid w:val="007E5A30"/>
    <w:rsid w:val="007F1644"/>
    <w:rsid w:val="007F444F"/>
    <w:rsid w:val="007F4EEC"/>
    <w:rsid w:val="0080103B"/>
    <w:rsid w:val="00806853"/>
    <w:rsid w:val="008111CC"/>
    <w:rsid w:val="0081242C"/>
    <w:rsid w:val="00847BAF"/>
    <w:rsid w:val="00857D6B"/>
    <w:rsid w:val="00864656"/>
    <w:rsid w:val="00870B44"/>
    <w:rsid w:val="0087131F"/>
    <w:rsid w:val="00873B59"/>
    <w:rsid w:val="008756E8"/>
    <w:rsid w:val="00881E57"/>
    <w:rsid w:val="008821F9"/>
    <w:rsid w:val="00886D2A"/>
    <w:rsid w:val="00897886"/>
    <w:rsid w:val="008A14C6"/>
    <w:rsid w:val="008B03E6"/>
    <w:rsid w:val="008B5C5C"/>
    <w:rsid w:val="008C7F59"/>
    <w:rsid w:val="008E296D"/>
    <w:rsid w:val="00920A21"/>
    <w:rsid w:val="00924FE5"/>
    <w:rsid w:val="00925885"/>
    <w:rsid w:val="009322F0"/>
    <w:rsid w:val="00936582"/>
    <w:rsid w:val="009516FB"/>
    <w:rsid w:val="00980C97"/>
    <w:rsid w:val="009837E4"/>
    <w:rsid w:val="00983CC0"/>
    <w:rsid w:val="00990BAD"/>
    <w:rsid w:val="0099119C"/>
    <w:rsid w:val="0099695C"/>
    <w:rsid w:val="009A5E71"/>
    <w:rsid w:val="009A716D"/>
    <w:rsid w:val="009A7FE9"/>
    <w:rsid w:val="009B25D5"/>
    <w:rsid w:val="009C4E16"/>
    <w:rsid w:val="009E1BCF"/>
    <w:rsid w:val="00A03475"/>
    <w:rsid w:val="00A10A42"/>
    <w:rsid w:val="00A367AD"/>
    <w:rsid w:val="00A54A69"/>
    <w:rsid w:val="00A731C9"/>
    <w:rsid w:val="00A770CD"/>
    <w:rsid w:val="00A775BA"/>
    <w:rsid w:val="00A81DA4"/>
    <w:rsid w:val="00A82B32"/>
    <w:rsid w:val="00A84002"/>
    <w:rsid w:val="00A8721F"/>
    <w:rsid w:val="00A97370"/>
    <w:rsid w:val="00AB217B"/>
    <w:rsid w:val="00AC28C6"/>
    <w:rsid w:val="00AC6A22"/>
    <w:rsid w:val="00AD2397"/>
    <w:rsid w:val="00AD5A87"/>
    <w:rsid w:val="00AE3AA2"/>
    <w:rsid w:val="00AF302A"/>
    <w:rsid w:val="00B01B28"/>
    <w:rsid w:val="00B11197"/>
    <w:rsid w:val="00B1548D"/>
    <w:rsid w:val="00B34E2E"/>
    <w:rsid w:val="00B355D2"/>
    <w:rsid w:val="00B35870"/>
    <w:rsid w:val="00B440A3"/>
    <w:rsid w:val="00B52D08"/>
    <w:rsid w:val="00B532FB"/>
    <w:rsid w:val="00B623E9"/>
    <w:rsid w:val="00B66E90"/>
    <w:rsid w:val="00B71928"/>
    <w:rsid w:val="00B819BC"/>
    <w:rsid w:val="00BA5444"/>
    <w:rsid w:val="00C012BB"/>
    <w:rsid w:val="00C02DF2"/>
    <w:rsid w:val="00C0564A"/>
    <w:rsid w:val="00C12A79"/>
    <w:rsid w:val="00C15E43"/>
    <w:rsid w:val="00C1691D"/>
    <w:rsid w:val="00C40D53"/>
    <w:rsid w:val="00C417A3"/>
    <w:rsid w:val="00C5176C"/>
    <w:rsid w:val="00C52445"/>
    <w:rsid w:val="00C53A07"/>
    <w:rsid w:val="00C721DB"/>
    <w:rsid w:val="00C76BED"/>
    <w:rsid w:val="00C83BE8"/>
    <w:rsid w:val="00C950B3"/>
    <w:rsid w:val="00CA0305"/>
    <w:rsid w:val="00CA2872"/>
    <w:rsid w:val="00CC60FF"/>
    <w:rsid w:val="00CD1AC9"/>
    <w:rsid w:val="00CE1A73"/>
    <w:rsid w:val="00CF22C2"/>
    <w:rsid w:val="00D1188B"/>
    <w:rsid w:val="00D25AD2"/>
    <w:rsid w:val="00D311E0"/>
    <w:rsid w:val="00D42123"/>
    <w:rsid w:val="00D770D9"/>
    <w:rsid w:val="00D830AA"/>
    <w:rsid w:val="00DB2422"/>
    <w:rsid w:val="00DC082C"/>
    <w:rsid w:val="00DC094A"/>
    <w:rsid w:val="00DC5948"/>
    <w:rsid w:val="00DD0103"/>
    <w:rsid w:val="00DD3ABC"/>
    <w:rsid w:val="00DF483C"/>
    <w:rsid w:val="00E02279"/>
    <w:rsid w:val="00E11D08"/>
    <w:rsid w:val="00E13DD7"/>
    <w:rsid w:val="00E60521"/>
    <w:rsid w:val="00E60F45"/>
    <w:rsid w:val="00E80D83"/>
    <w:rsid w:val="00EC5CB5"/>
    <w:rsid w:val="00F02739"/>
    <w:rsid w:val="00F059BB"/>
    <w:rsid w:val="00F2538A"/>
    <w:rsid w:val="00F26D48"/>
    <w:rsid w:val="00F443AC"/>
    <w:rsid w:val="00F507E6"/>
    <w:rsid w:val="00F55547"/>
    <w:rsid w:val="00F6705E"/>
    <w:rsid w:val="00F7041B"/>
    <w:rsid w:val="00F76BD4"/>
    <w:rsid w:val="00F970CC"/>
    <w:rsid w:val="00FA16B3"/>
    <w:rsid w:val="00FC005D"/>
    <w:rsid w:val="00FD3FF3"/>
    <w:rsid w:val="00FD690C"/>
    <w:rsid w:val="00FF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B2"/>
    <w:rPr>
      <w:rFonts w:eastAsiaTheme="minorEastAsia"/>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B2"/>
    <w:rPr>
      <w:rFonts w:eastAsiaTheme="minorEastAsia"/>
    </w:rPr>
  </w:style>
  <w:style w:type="paragraph" w:styleId="Heading4">
    <w:name w:val="heading 4"/>
    <w:basedOn w:val="Normal"/>
    <w:link w:val="Heading4Char"/>
    <w:uiPriority w:val="9"/>
    <w:qFormat/>
    <w:rsid w:val="007E5A30"/>
    <w:pPr>
      <w:spacing w:before="75" w:after="75"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0B2"/>
    <w:rPr>
      <w:color w:val="0000FF" w:themeColor="hyperlink"/>
      <w:u w:val="single"/>
    </w:rPr>
  </w:style>
  <w:style w:type="character" w:customStyle="1" w:styleId="h31">
    <w:name w:val="h31"/>
    <w:basedOn w:val="DefaultParagraphFont"/>
    <w:rsid w:val="00DB2422"/>
    <w:rPr>
      <w:rFonts w:ascii="Arial Black" w:hAnsi="Arial Black" w:hint="default"/>
      <w:b w:val="0"/>
      <w:bCs w:val="0"/>
      <w:color w:val="000000"/>
      <w:sz w:val="24"/>
      <w:szCs w:val="24"/>
    </w:rPr>
  </w:style>
  <w:style w:type="paragraph" w:styleId="NormalWeb">
    <w:name w:val="Normal (Web)"/>
    <w:basedOn w:val="Normal"/>
    <w:uiPriority w:val="99"/>
    <w:unhideWhenUsed/>
    <w:rsid w:val="00F555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A12"/>
    <w:rPr>
      <w:color w:val="800080" w:themeColor="followedHyperlink"/>
      <w:u w:val="single"/>
    </w:rPr>
  </w:style>
  <w:style w:type="character" w:styleId="Strong">
    <w:name w:val="Strong"/>
    <w:basedOn w:val="DefaultParagraphFont"/>
    <w:uiPriority w:val="22"/>
    <w:qFormat/>
    <w:rsid w:val="00F02739"/>
    <w:rPr>
      <w:b/>
      <w:bCs/>
    </w:rPr>
  </w:style>
  <w:style w:type="paragraph" w:styleId="BalloonText">
    <w:name w:val="Balloon Text"/>
    <w:basedOn w:val="Normal"/>
    <w:link w:val="BalloonTextChar"/>
    <w:uiPriority w:val="99"/>
    <w:semiHidden/>
    <w:unhideWhenUsed/>
    <w:rsid w:val="0095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B"/>
    <w:rPr>
      <w:rFonts w:ascii="Tahoma" w:eastAsiaTheme="minorEastAsia" w:hAnsi="Tahoma" w:cs="Tahoma"/>
      <w:sz w:val="16"/>
      <w:szCs w:val="16"/>
    </w:rPr>
  </w:style>
  <w:style w:type="paragraph" w:styleId="Header">
    <w:name w:val="header"/>
    <w:basedOn w:val="Normal"/>
    <w:link w:val="HeaderChar"/>
    <w:uiPriority w:val="99"/>
    <w:unhideWhenUsed/>
    <w:rsid w:val="0095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6FB"/>
    <w:rPr>
      <w:rFonts w:eastAsiaTheme="minorEastAsia"/>
    </w:rPr>
  </w:style>
  <w:style w:type="paragraph" w:styleId="Footer">
    <w:name w:val="footer"/>
    <w:basedOn w:val="Normal"/>
    <w:link w:val="FooterChar"/>
    <w:uiPriority w:val="99"/>
    <w:unhideWhenUsed/>
    <w:rsid w:val="0095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6FB"/>
    <w:rPr>
      <w:rFonts w:eastAsiaTheme="minorEastAsia"/>
    </w:rPr>
  </w:style>
  <w:style w:type="character" w:customStyle="1" w:styleId="volume">
    <w:name w:val="volume"/>
    <w:basedOn w:val="DefaultParagraphFont"/>
    <w:rsid w:val="00C1691D"/>
  </w:style>
  <w:style w:type="character" w:customStyle="1" w:styleId="page">
    <w:name w:val="page"/>
    <w:basedOn w:val="DefaultParagraphFont"/>
    <w:rsid w:val="00C1691D"/>
  </w:style>
  <w:style w:type="paragraph" w:styleId="ListParagraph">
    <w:name w:val="List Paragraph"/>
    <w:basedOn w:val="Normal"/>
    <w:uiPriority w:val="34"/>
    <w:qFormat/>
    <w:rsid w:val="00356321"/>
    <w:pPr>
      <w:ind w:left="720"/>
      <w:contextualSpacing/>
    </w:pPr>
  </w:style>
  <w:style w:type="character" w:styleId="CommentReference">
    <w:name w:val="annotation reference"/>
    <w:basedOn w:val="DefaultParagraphFont"/>
    <w:uiPriority w:val="99"/>
    <w:semiHidden/>
    <w:unhideWhenUsed/>
    <w:rsid w:val="00C950B3"/>
    <w:rPr>
      <w:sz w:val="16"/>
      <w:szCs w:val="16"/>
    </w:rPr>
  </w:style>
  <w:style w:type="paragraph" w:styleId="CommentText">
    <w:name w:val="annotation text"/>
    <w:basedOn w:val="Normal"/>
    <w:link w:val="CommentTextChar"/>
    <w:uiPriority w:val="99"/>
    <w:semiHidden/>
    <w:unhideWhenUsed/>
    <w:rsid w:val="00C950B3"/>
    <w:pPr>
      <w:spacing w:line="240" w:lineRule="auto"/>
    </w:pPr>
    <w:rPr>
      <w:sz w:val="20"/>
      <w:szCs w:val="20"/>
    </w:rPr>
  </w:style>
  <w:style w:type="character" w:customStyle="1" w:styleId="CommentTextChar">
    <w:name w:val="Comment Text Char"/>
    <w:basedOn w:val="DefaultParagraphFont"/>
    <w:link w:val="CommentText"/>
    <w:uiPriority w:val="99"/>
    <w:semiHidden/>
    <w:rsid w:val="00C95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0B3"/>
    <w:rPr>
      <w:b/>
      <w:bCs/>
    </w:rPr>
  </w:style>
  <w:style w:type="character" w:customStyle="1" w:styleId="CommentSubjectChar">
    <w:name w:val="Comment Subject Char"/>
    <w:basedOn w:val="CommentTextChar"/>
    <w:link w:val="CommentSubject"/>
    <w:uiPriority w:val="99"/>
    <w:semiHidden/>
    <w:rsid w:val="00C950B3"/>
    <w:rPr>
      <w:rFonts w:eastAsiaTheme="minorEastAsia"/>
      <w:b/>
      <w:bCs/>
      <w:sz w:val="20"/>
      <w:szCs w:val="20"/>
    </w:rPr>
  </w:style>
  <w:style w:type="character" w:customStyle="1" w:styleId="apple-converted-space">
    <w:name w:val="apple-converted-space"/>
    <w:basedOn w:val="DefaultParagraphFont"/>
    <w:rsid w:val="007761FF"/>
  </w:style>
  <w:style w:type="character" w:customStyle="1" w:styleId="Heading4Char">
    <w:name w:val="Heading 4 Char"/>
    <w:basedOn w:val="DefaultParagraphFont"/>
    <w:link w:val="Heading4"/>
    <w:uiPriority w:val="9"/>
    <w:rsid w:val="007E5A3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6040">
      <w:bodyDiv w:val="1"/>
      <w:marLeft w:val="0"/>
      <w:marRight w:val="0"/>
      <w:marTop w:val="0"/>
      <w:marBottom w:val="0"/>
      <w:divBdr>
        <w:top w:val="none" w:sz="0" w:space="0" w:color="auto"/>
        <w:left w:val="none" w:sz="0" w:space="0" w:color="auto"/>
        <w:bottom w:val="none" w:sz="0" w:space="0" w:color="auto"/>
        <w:right w:val="none" w:sz="0" w:space="0" w:color="auto"/>
      </w:divBdr>
    </w:div>
    <w:div w:id="925572308">
      <w:bodyDiv w:val="1"/>
      <w:marLeft w:val="0"/>
      <w:marRight w:val="0"/>
      <w:marTop w:val="0"/>
      <w:marBottom w:val="0"/>
      <w:divBdr>
        <w:top w:val="none" w:sz="0" w:space="0" w:color="auto"/>
        <w:left w:val="none" w:sz="0" w:space="0" w:color="auto"/>
        <w:bottom w:val="none" w:sz="0" w:space="0" w:color="auto"/>
        <w:right w:val="none" w:sz="0" w:space="0" w:color="auto"/>
      </w:divBdr>
    </w:div>
    <w:div w:id="12817193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331">
          <w:marLeft w:val="0"/>
          <w:marRight w:val="0"/>
          <w:marTop w:val="0"/>
          <w:marBottom w:val="0"/>
          <w:divBdr>
            <w:top w:val="none" w:sz="0" w:space="0" w:color="auto"/>
            <w:left w:val="none" w:sz="0" w:space="0" w:color="auto"/>
            <w:bottom w:val="none" w:sz="0" w:space="0" w:color="auto"/>
            <w:right w:val="none" w:sz="0" w:space="0" w:color="auto"/>
          </w:divBdr>
          <w:divsChild>
            <w:div w:id="2032880664">
              <w:marLeft w:val="0"/>
              <w:marRight w:val="0"/>
              <w:marTop w:val="0"/>
              <w:marBottom w:val="0"/>
              <w:divBdr>
                <w:top w:val="none" w:sz="0" w:space="0" w:color="auto"/>
                <w:left w:val="none" w:sz="0" w:space="0" w:color="auto"/>
                <w:bottom w:val="none" w:sz="0" w:space="0" w:color="auto"/>
                <w:right w:val="none" w:sz="0" w:space="0" w:color="auto"/>
              </w:divBdr>
              <w:divsChild>
                <w:div w:id="178088457">
                  <w:marLeft w:val="0"/>
                  <w:marRight w:val="0"/>
                  <w:marTop w:val="0"/>
                  <w:marBottom w:val="0"/>
                  <w:divBdr>
                    <w:top w:val="none" w:sz="0" w:space="0" w:color="auto"/>
                    <w:left w:val="none" w:sz="0" w:space="0" w:color="auto"/>
                    <w:bottom w:val="none" w:sz="0" w:space="0" w:color="auto"/>
                    <w:right w:val="none" w:sz="0" w:space="0" w:color="auto"/>
                  </w:divBdr>
                  <w:divsChild>
                    <w:div w:id="606960972">
                      <w:marLeft w:val="0"/>
                      <w:marRight w:val="0"/>
                      <w:marTop w:val="0"/>
                      <w:marBottom w:val="0"/>
                      <w:divBdr>
                        <w:top w:val="none" w:sz="0" w:space="0" w:color="auto"/>
                        <w:left w:val="none" w:sz="0" w:space="0" w:color="auto"/>
                        <w:bottom w:val="none" w:sz="0" w:space="0" w:color="auto"/>
                        <w:right w:val="none" w:sz="0" w:space="0" w:color="auto"/>
                      </w:divBdr>
                      <w:divsChild>
                        <w:div w:id="1576553154">
                          <w:marLeft w:val="0"/>
                          <w:marRight w:val="0"/>
                          <w:marTop w:val="0"/>
                          <w:marBottom w:val="0"/>
                          <w:divBdr>
                            <w:top w:val="none" w:sz="0" w:space="0" w:color="auto"/>
                            <w:left w:val="none" w:sz="0" w:space="0" w:color="auto"/>
                            <w:bottom w:val="none" w:sz="0" w:space="0" w:color="auto"/>
                            <w:right w:val="none" w:sz="0" w:space="0" w:color="auto"/>
                          </w:divBdr>
                          <w:divsChild>
                            <w:div w:id="1304117915">
                              <w:marLeft w:val="0"/>
                              <w:marRight w:val="0"/>
                              <w:marTop w:val="0"/>
                              <w:marBottom w:val="0"/>
                              <w:divBdr>
                                <w:top w:val="none" w:sz="0" w:space="0" w:color="auto"/>
                                <w:left w:val="none" w:sz="0" w:space="0" w:color="auto"/>
                                <w:bottom w:val="none" w:sz="0" w:space="0" w:color="auto"/>
                                <w:right w:val="none" w:sz="0" w:space="0" w:color="auto"/>
                              </w:divBdr>
                              <w:divsChild>
                                <w:div w:id="309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3611">
      <w:bodyDiv w:val="1"/>
      <w:marLeft w:val="0"/>
      <w:marRight w:val="0"/>
      <w:marTop w:val="0"/>
      <w:marBottom w:val="0"/>
      <w:divBdr>
        <w:top w:val="none" w:sz="0" w:space="0" w:color="auto"/>
        <w:left w:val="none" w:sz="0" w:space="0" w:color="auto"/>
        <w:bottom w:val="none" w:sz="0" w:space="0" w:color="auto"/>
        <w:right w:val="none" w:sz="0" w:space="0" w:color="auto"/>
      </w:divBdr>
      <w:divsChild>
        <w:div w:id="395981390">
          <w:marLeft w:val="0"/>
          <w:marRight w:val="0"/>
          <w:marTop w:val="0"/>
          <w:marBottom w:val="0"/>
          <w:divBdr>
            <w:top w:val="none" w:sz="0" w:space="0" w:color="auto"/>
            <w:left w:val="none" w:sz="0" w:space="0" w:color="auto"/>
            <w:bottom w:val="none" w:sz="0" w:space="0" w:color="auto"/>
            <w:right w:val="none" w:sz="0" w:space="0" w:color="auto"/>
          </w:divBdr>
          <w:divsChild>
            <w:div w:id="1714187619">
              <w:marLeft w:val="0"/>
              <w:marRight w:val="0"/>
              <w:marTop w:val="0"/>
              <w:marBottom w:val="0"/>
              <w:divBdr>
                <w:top w:val="none" w:sz="0" w:space="0" w:color="auto"/>
                <w:left w:val="none" w:sz="0" w:space="0" w:color="auto"/>
                <w:bottom w:val="none" w:sz="0" w:space="0" w:color="auto"/>
                <w:right w:val="none" w:sz="0" w:space="0" w:color="auto"/>
              </w:divBdr>
              <w:divsChild>
                <w:div w:id="950818791">
                  <w:marLeft w:val="0"/>
                  <w:marRight w:val="0"/>
                  <w:marTop w:val="0"/>
                  <w:marBottom w:val="0"/>
                  <w:divBdr>
                    <w:top w:val="none" w:sz="0" w:space="0" w:color="auto"/>
                    <w:left w:val="none" w:sz="0" w:space="0" w:color="auto"/>
                    <w:bottom w:val="none" w:sz="0" w:space="0" w:color="auto"/>
                    <w:right w:val="none" w:sz="0" w:space="0" w:color="auto"/>
                  </w:divBdr>
                  <w:divsChild>
                    <w:div w:id="974409441">
                      <w:marLeft w:val="0"/>
                      <w:marRight w:val="0"/>
                      <w:marTop w:val="0"/>
                      <w:marBottom w:val="0"/>
                      <w:divBdr>
                        <w:top w:val="none" w:sz="0" w:space="0" w:color="auto"/>
                        <w:left w:val="none" w:sz="0" w:space="0" w:color="auto"/>
                        <w:bottom w:val="none" w:sz="0" w:space="0" w:color="auto"/>
                        <w:right w:val="none" w:sz="0" w:space="0" w:color="auto"/>
                      </w:divBdr>
                      <w:divsChild>
                        <w:div w:id="290788251">
                          <w:marLeft w:val="0"/>
                          <w:marRight w:val="0"/>
                          <w:marTop w:val="0"/>
                          <w:marBottom w:val="0"/>
                          <w:divBdr>
                            <w:top w:val="none" w:sz="0" w:space="0" w:color="auto"/>
                            <w:left w:val="none" w:sz="0" w:space="0" w:color="auto"/>
                            <w:bottom w:val="none" w:sz="0" w:space="0" w:color="auto"/>
                            <w:right w:val="none" w:sz="0" w:space="0" w:color="auto"/>
                          </w:divBdr>
                          <w:divsChild>
                            <w:div w:id="344748247">
                              <w:marLeft w:val="0"/>
                              <w:marRight w:val="0"/>
                              <w:marTop w:val="0"/>
                              <w:marBottom w:val="0"/>
                              <w:divBdr>
                                <w:top w:val="none" w:sz="0" w:space="0" w:color="auto"/>
                                <w:left w:val="none" w:sz="0" w:space="0" w:color="auto"/>
                                <w:bottom w:val="none" w:sz="0" w:space="0" w:color="auto"/>
                                <w:right w:val="none" w:sz="0" w:space="0" w:color="auto"/>
                              </w:divBdr>
                              <w:divsChild>
                                <w:div w:id="203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69098">
      <w:bodyDiv w:val="1"/>
      <w:marLeft w:val="0"/>
      <w:marRight w:val="0"/>
      <w:marTop w:val="0"/>
      <w:marBottom w:val="0"/>
      <w:divBdr>
        <w:top w:val="none" w:sz="0" w:space="0" w:color="auto"/>
        <w:left w:val="none" w:sz="0" w:space="0" w:color="auto"/>
        <w:bottom w:val="none" w:sz="0" w:space="0" w:color="auto"/>
        <w:right w:val="none" w:sz="0" w:space="0" w:color="auto"/>
      </w:divBdr>
    </w:div>
    <w:div w:id="2126658609">
      <w:bodyDiv w:val="1"/>
      <w:marLeft w:val="0"/>
      <w:marRight w:val="0"/>
      <w:marTop w:val="0"/>
      <w:marBottom w:val="0"/>
      <w:divBdr>
        <w:top w:val="none" w:sz="0" w:space="0" w:color="auto"/>
        <w:left w:val="none" w:sz="0" w:space="0" w:color="auto"/>
        <w:bottom w:val="none" w:sz="0" w:space="0" w:color="auto"/>
        <w:right w:val="none" w:sz="0" w:space="0" w:color="auto"/>
      </w:divBdr>
      <w:divsChild>
        <w:div w:id="32313562">
          <w:marLeft w:val="0"/>
          <w:marRight w:val="0"/>
          <w:marTop w:val="0"/>
          <w:marBottom w:val="0"/>
          <w:divBdr>
            <w:top w:val="none" w:sz="0" w:space="0" w:color="auto"/>
            <w:left w:val="none" w:sz="0" w:space="0" w:color="auto"/>
            <w:bottom w:val="none" w:sz="0" w:space="0" w:color="auto"/>
            <w:right w:val="none" w:sz="0" w:space="0" w:color="auto"/>
          </w:divBdr>
          <w:divsChild>
            <w:div w:id="1189754370">
              <w:marLeft w:val="0"/>
              <w:marRight w:val="0"/>
              <w:marTop w:val="0"/>
              <w:marBottom w:val="0"/>
              <w:divBdr>
                <w:top w:val="none" w:sz="0" w:space="0" w:color="auto"/>
                <w:left w:val="none" w:sz="0" w:space="0" w:color="auto"/>
                <w:bottom w:val="none" w:sz="0" w:space="0" w:color="auto"/>
                <w:right w:val="none" w:sz="0" w:space="0" w:color="auto"/>
              </w:divBdr>
              <w:divsChild>
                <w:div w:id="1180894927">
                  <w:marLeft w:val="0"/>
                  <w:marRight w:val="0"/>
                  <w:marTop w:val="0"/>
                  <w:marBottom w:val="0"/>
                  <w:divBdr>
                    <w:top w:val="none" w:sz="0" w:space="12" w:color="auto"/>
                    <w:left w:val="none" w:sz="0" w:space="12" w:color="auto"/>
                    <w:bottom w:val="none" w:sz="0" w:space="12" w:color="auto"/>
                    <w:right w:val="none" w:sz="0" w:space="12" w:color="auto"/>
                  </w:divBdr>
                  <w:divsChild>
                    <w:div w:id="959186276">
                      <w:marLeft w:val="0"/>
                      <w:marRight w:val="0"/>
                      <w:marTop w:val="0"/>
                      <w:marBottom w:val="0"/>
                      <w:divBdr>
                        <w:top w:val="none" w:sz="0" w:space="12" w:color="auto"/>
                        <w:left w:val="none" w:sz="0" w:space="12" w:color="auto"/>
                        <w:bottom w:val="none" w:sz="0" w:space="12" w:color="auto"/>
                        <w:right w:val="none" w:sz="0" w:space="12" w:color="auto"/>
                      </w:divBdr>
                      <w:divsChild>
                        <w:div w:id="2033023296">
                          <w:marLeft w:val="0"/>
                          <w:marRight w:val="0"/>
                          <w:marTop w:val="0"/>
                          <w:marBottom w:val="0"/>
                          <w:divBdr>
                            <w:top w:val="none" w:sz="0" w:space="0" w:color="auto"/>
                            <w:left w:val="none" w:sz="0" w:space="0" w:color="auto"/>
                            <w:bottom w:val="none" w:sz="0" w:space="0" w:color="auto"/>
                            <w:right w:val="none" w:sz="0" w:space="0" w:color="auto"/>
                          </w:divBdr>
                          <w:divsChild>
                            <w:div w:id="1735010346">
                              <w:marLeft w:val="-225"/>
                              <w:marRight w:val="-225"/>
                              <w:marTop w:val="0"/>
                              <w:marBottom w:val="0"/>
                              <w:divBdr>
                                <w:top w:val="none" w:sz="0" w:space="0" w:color="auto"/>
                                <w:left w:val="none" w:sz="0" w:space="0" w:color="auto"/>
                                <w:bottom w:val="none" w:sz="0" w:space="0" w:color="auto"/>
                                <w:right w:val="none" w:sz="0" w:space="0" w:color="auto"/>
                              </w:divBdr>
                              <w:divsChild>
                                <w:div w:id="182405104">
                                  <w:marLeft w:val="0"/>
                                  <w:marRight w:val="0"/>
                                  <w:marTop w:val="0"/>
                                  <w:marBottom w:val="0"/>
                                  <w:divBdr>
                                    <w:top w:val="none" w:sz="0" w:space="0" w:color="auto"/>
                                    <w:left w:val="none" w:sz="0" w:space="0" w:color="auto"/>
                                    <w:bottom w:val="none" w:sz="0" w:space="0" w:color="auto"/>
                                    <w:right w:val="none" w:sz="0" w:space="0" w:color="auto"/>
                                  </w:divBdr>
                                  <w:divsChild>
                                    <w:div w:id="1836257868">
                                      <w:marLeft w:val="0"/>
                                      <w:marRight w:val="0"/>
                                      <w:marTop w:val="0"/>
                                      <w:marBottom w:val="0"/>
                                      <w:divBdr>
                                        <w:top w:val="none" w:sz="0" w:space="0" w:color="auto"/>
                                        <w:left w:val="none" w:sz="0" w:space="0" w:color="auto"/>
                                        <w:bottom w:val="none" w:sz="0" w:space="0" w:color="auto"/>
                                        <w:right w:val="none" w:sz="0" w:space="0" w:color="auto"/>
                                      </w:divBdr>
                                      <w:divsChild>
                                        <w:div w:id="788091041">
                                          <w:marLeft w:val="-225"/>
                                          <w:marRight w:val="-225"/>
                                          <w:marTop w:val="0"/>
                                          <w:marBottom w:val="0"/>
                                          <w:divBdr>
                                            <w:top w:val="none" w:sz="0" w:space="0" w:color="auto"/>
                                            <w:left w:val="none" w:sz="0" w:space="0" w:color="auto"/>
                                            <w:bottom w:val="none" w:sz="0" w:space="0" w:color="auto"/>
                                            <w:right w:val="none" w:sz="0" w:space="0" w:color="auto"/>
                                          </w:divBdr>
                                          <w:divsChild>
                                            <w:div w:id="897203052">
                                              <w:marLeft w:val="0"/>
                                              <w:marRight w:val="0"/>
                                              <w:marTop w:val="0"/>
                                              <w:marBottom w:val="0"/>
                                              <w:divBdr>
                                                <w:top w:val="none" w:sz="0" w:space="0" w:color="auto"/>
                                                <w:left w:val="none" w:sz="0" w:space="0" w:color="auto"/>
                                                <w:bottom w:val="none" w:sz="0" w:space="0" w:color="auto"/>
                                                <w:right w:val="none" w:sz="0" w:space="0" w:color="auto"/>
                                              </w:divBdr>
                                            </w:div>
                                          </w:divsChild>
                                        </w:div>
                                        <w:div w:id="1565870029">
                                          <w:marLeft w:val="-225"/>
                                          <w:marRight w:val="-225"/>
                                          <w:marTop w:val="0"/>
                                          <w:marBottom w:val="0"/>
                                          <w:divBdr>
                                            <w:top w:val="none" w:sz="0" w:space="0" w:color="auto"/>
                                            <w:left w:val="none" w:sz="0" w:space="0" w:color="auto"/>
                                            <w:bottom w:val="none" w:sz="0" w:space="0" w:color="auto"/>
                                            <w:right w:val="none" w:sz="0" w:space="0" w:color="auto"/>
                                          </w:divBdr>
                                          <w:divsChild>
                                            <w:div w:id="1264414173">
                                              <w:marLeft w:val="0"/>
                                              <w:marRight w:val="0"/>
                                              <w:marTop w:val="0"/>
                                              <w:marBottom w:val="0"/>
                                              <w:divBdr>
                                                <w:top w:val="none" w:sz="0" w:space="0" w:color="auto"/>
                                                <w:left w:val="none" w:sz="0" w:space="0" w:color="auto"/>
                                                <w:bottom w:val="none" w:sz="0" w:space="0" w:color="auto"/>
                                                <w:right w:val="none" w:sz="0" w:space="0" w:color="auto"/>
                                              </w:divBdr>
                                            </w:div>
                                          </w:divsChild>
                                        </w:div>
                                        <w:div w:id="74206983">
                                          <w:marLeft w:val="0"/>
                                          <w:marRight w:val="0"/>
                                          <w:marTop w:val="0"/>
                                          <w:marBottom w:val="0"/>
                                          <w:divBdr>
                                            <w:top w:val="none" w:sz="0" w:space="0" w:color="auto"/>
                                            <w:left w:val="none" w:sz="0" w:space="0" w:color="auto"/>
                                            <w:bottom w:val="none" w:sz="0" w:space="0" w:color="auto"/>
                                            <w:right w:val="none" w:sz="0" w:space="0" w:color="auto"/>
                                          </w:divBdr>
                                          <w:divsChild>
                                            <w:div w:id="230386878">
                                              <w:marLeft w:val="0"/>
                                              <w:marRight w:val="0"/>
                                              <w:marTop w:val="0"/>
                                              <w:marBottom w:val="0"/>
                                              <w:divBdr>
                                                <w:top w:val="none" w:sz="0" w:space="0" w:color="auto"/>
                                                <w:left w:val="none" w:sz="0" w:space="0" w:color="auto"/>
                                                <w:bottom w:val="none" w:sz="0" w:space="0" w:color="auto"/>
                                                <w:right w:val="none" w:sz="0" w:space="0" w:color="auto"/>
                                              </w:divBdr>
                                            </w:div>
                                            <w:div w:id="1309818712">
                                              <w:marLeft w:val="0"/>
                                              <w:marRight w:val="0"/>
                                              <w:marTop w:val="0"/>
                                              <w:marBottom w:val="0"/>
                                              <w:divBdr>
                                                <w:top w:val="none" w:sz="0" w:space="0" w:color="auto"/>
                                                <w:left w:val="none" w:sz="0" w:space="0" w:color="auto"/>
                                                <w:bottom w:val="none" w:sz="0" w:space="0" w:color="auto"/>
                                                <w:right w:val="none" w:sz="0" w:space="0" w:color="auto"/>
                                              </w:divBdr>
                                            </w:div>
                                            <w:div w:id="562762251">
                                              <w:marLeft w:val="0"/>
                                              <w:marRight w:val="0"/>
                                              <w:marTop w:val="0"/>
                                              <w:marBottom w:val="0"/>
                                              <w:divBdr>
                                                <w:top w:val="none" w:sz="0" w:space="0" w:color="auto"/>
                                                <w:left w:val="none" w:sz="0" w:space="0" w:color="auto"/>
                                                <w:bottom w:val="none" w:sz="0" w:space="0" w:color="auto"/>
                                                <w:right w:val="none" w:sz="0" w:space="0" w:color="auto"/>
                                              </w:divBdr>
                                            </w:div>
                                            <w:div w:id="860046223">
                                              <w:marLeft w:val="0"/>
                                              <w:marRight w:val="0"/>
                                              <w:marTop w:val="0"/>
                                              <w:marBottom w:val="0"/>
                                              <w:divBdr>
                                                <w:top w:val="none" w:sz="0" w:space="0" w:color="auto"/>
                                                <w:left w:val="none" w:sz="0" w:space="0" w:color="auto"/>
                                                <w:bottom w:val="none" w:sz="0" w:space="0" w:color="auto"/>
                                                <w:right w:val="none" w:sz="0" w:space="0" w:color="auto"/>
                                              </w:divBdr>
                                            </w:div>
                                            <w:div w:id="1308779988">
                                              <w:marLeft w:val="0"/>
                                              <w:marRight w:val="0"/>
                                              <w:marTop w:val="0"/>
                                              <w:marBottom w:val="0"/>
                                              <w:divBdr>
                                                <w:top w:val="none" w:sz="0" w:space="0" w:color="auto"/>
                                                <w:left w:val="none" w:sz="0" w:space="0" w:color="auto"/>
                                                <w:bottom w:val="none" w:sz="0" w:space="0" w:color="auto"/>
                                                <w:right w:val="none" w:sz="0" w:space="0" w:color="auto"/>
                                              </w:divBdr>
                                            </w:div>
                                            <w:div w:id="2029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cuc.com/final-rules-foreclosure-protection-servicing-transfers/" TargetMode="External"/><Relationship Id="rId13" Type="http://schemas.openxmlformats.org/officeDocument/2006/relationships/hyperlink" Target="https://nwcuc.com/mla-interpretive-rule/" TargetMode="External"/><Relationship Id="rId18" Type="http://schemas.openxmlformats.org/officeDocument/2006/relationships/hyperlink" Target="https://nwcuc.com/sba-proposed-rul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nwcuc.com/legal-opinion-letter-16-0604-mbl-reporting/" TargetMode="External"/><Relationship Id="rId7" Type="http://schemas.openxmlformats.org/officeDocument/2006/relationships/endnotes" Target="endnotes.xml"/><Relationship Id="rId12" Type="http://schemas.openxmlformats.org/officeDocument/2006/relationships/hyperlink" Target="https://nwcuc.com/final-rules-foreclosure-protections-delinquency-multiple-loss-mitigation-procedures/" TargetMode="External"/><Relationship Id="rId17" Type="http://schemas.openxmlformats.org/officeDocument/2006/relationships/hyperlink" Target="https://www.federalregister.gov/articles/2016/08/15/2016-18426/amendments-to-federal-mortgage-disclosure-requirements-under-the-truth-in-lending-act-regulation-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wcuc.com/proposed-amendments-regulation-z-mortgage-disclosure-requirements/" TargetMode="External"/><Relationship Id="rId20" Type="http://schemas.openxmlformats.org/officeDocument/2006/relationships/hyperlink" Target="https://nwcuc.com/loss-mitigation-principl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wcuc.com/final-rules-foreclosure-protection-borrowers-bankruptcy/" TargetMode="External"/><Relationship Id="rId24" Type="http://schemas.openxmlformats.org/officeDocument/2006/relationships/hyperlink" Target="https://nwcuc.com/student-loan-servicing-fix-form/" TargetMode="External"/><Relationship Id="rId5" Type="http://schemas.openxmlformats.org/officeDocument/2006/relationships/webSettings" Target="webSettings.xml"/><Relationship Id="rId15" Type="http://schemas.openxmlformats.org/officeDocument/2006/relationships/hyperlink" Target="https://nwcuc.com/nacha-third-party-sender-registration-requirements/" TargetMode="External"/><Relationship Id="rId23" Type="http://schemas.openxmlformats.org/officeDocument/2006/relationships/hyperlink" Target="https://nwcuc.com/update-consumer-complaint-process-washington-state/" TargetMode="External"/><Relationship Id="rId28" Type="http://schemas.openxmlformats.org/officeDocument/2006/relationships/theme" Target="theme/theme1.xml"/><Relationship Id="rId10" Type="http://schemas.openxmlformats.org/officeDocument/2006/relationships/hyperlink" Target="https://nwcuc.com/final-rules-foreclosure-protections-successors-interest/" TargetMode="External"/><Relationship Id="rId19" Type="http://schemas.openxmlformats.org/officeDocument/2006/relationships/hyperlink" Target="https://www.federalregister.gov/articles/2016/08/09/2016-18044/miscellaneous-amendments-to-business-loan-programs-and-surety-bond-guarantee-program" TargetMode="External"/><Relationship Id="rId4" Type="http://schemas.openxmlformats.org/officeDocument/2006/relationships/settings" Target="settings.xml"/><Relationship Id="rId9" Type="http://schemas.openxmlformats.org/officeDocument/2006/relationships/hyperlink" Target="https://nwcuc.com/final-rules-foreclosure-protections-loss-mitigation-procedures/" TargetMode="External"/><Relationship Id="rId14" Type="http://schemas.openxmlformats.org/officeDocument/2006/relationships/hyperlink" Target="https://www.federalregister.gov/articles/2016/08/26/2016-20486/military-lending-act-limitations-on-terms-of-consumer-credit-extended-to-service-members-and" TargetMode="External"/><Relationship Id="rId22" Type="http://schemas.openxmlformats.org/officeDocument/2006/relationships/hyperlink" Target="https://nwcuc.com/browser-requirements-nmls-acces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Jim McKinney</cp:lastModifiedBy>
  <cp:revision>4</cp:revision>
  <cp:lastPrinted>2016-08-30T17:31:00Z</cp:lastPrinted>
  <dcterms:created xsi:type="dcterms:W3CDTF">2016-08-25T20:14:00Z</dcterms:created>
  <dcterms:modified xsi:type="dcterms:W3CDTF">2016-08-30T18:16:00Z</dcterms:modified>
</cp:coreProperties>
</file>