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F" w:rsidRDefault="009E1BCF" w:rsidP="007B2E65">
      <w:pPr>
        <w:spacing w:after="0"/>
        <w:rPr>
          <w:b/>
          <w:sz w:val="28"/>
          <w:szCs w:val="28"/>
        </w:rPr>
      </w:pPr>
    </w:p>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B5196E">
            <w:pPr>
              <w:rPr>
                <w:b/>
              </w:rPr>
            </w:pPr>
            <w:r>
              <w:rPr>
                <w:b/>
              </w:rPr>
              <w:t>Effective Date</w:t>
            </w:r>
          </w:p>
        </w:tc>
        <w:tc>
          <w:tcPr>
            <w:tcW w:w="2250" w:type="dxa"/>
            <w:tcBorders>
              <w:top w:val="nil"/>
              <w:left w:val="nil"/>
              <w:right w:val="nil"/>
            </w:tcBorders>
          </w:tcPr>
          <w:p w:rsidR="00AC6A22" w:rsidRDefault="00AC6A22" w:rsidP="00B5196E">
            <w:pPr>
              <w:rPr>
                <w:b/>
              </w:rPr>
            </w:pPr>
            <w:r>
              <w:rPr>
                <w:b/>
              </w:rPr>
              <w:t>Regulation</w:t>
            </w:r>
          </w:p>
        </w:tc>
        <w:tc>
          <w:tcPr>
            <w:tcW w:w="1440" w:type="dxa"/>
            <w:tcBorders>
              <w:top w:val="nil"/>
              <w:left w:val="nil"/>
              <w:right w:val="nil"/>
            </w:tcBorders>
          </w:tcPr>
          <w:p w:rsidR="00AC6A22" w:rsidRDefault="00AC6A22" w:rsidP="00B5196E">
            <w:pPr>
              <w:rPr>
                <w:b/>
              </w:rPr>
            </w:pPr>
            <w:r>
              <w:rPr>
                <w:b/>
              </w:rPr>
              <w:t>Citation</w:t>
            </w:r>
          </w:p>
        </w:tc>
        <w:tc>
          <w:tcPr>
            <w:tcW w:w="8208" w:type="dxa"/>
            <w:tcBorders>
              <w:top w:val="nil"/>
              <w:left w:val="nil"/>
              <w:right w:val="nil"/>
            </w:tcBorders>
          </w:tcPr>
          <w:p w:rsidR="00AC6A22" w:rsidRDefault="00AC6A22" w:rsidP="00B5196E">
            <w:pPr>
              <w:rPr>
                <w:b/>
              </w:rPr>
            </w:pPr>
            <w:r>
              <w:rPr>
                <w:b/>
              </w:rPr>
              <w:t>Summary</w:t>
            </w:r>
          </w:p>
        </w:tc>
      </w:tr>
      <w:tr w:rsidR="00B532FB" w:rsidRPr="00967605" w:rsidTr="00AC6A22">
        <w:tc>
          <w:tcPr>
            <w:tcW w:w="1278" w:type="dxa"/>
          </w:tcPr>
          <w:p w:rsidR="00B532FB" w:rsidRDefault="00B532FB" w:rsidP="00B5196E"/>
        </w:tc>
        <w:tc>
          <w:tcPr>
            <w:tcW w:w="2250" w:type="dxa"/>
          </w:tcPr>
          <w:p w:rsidR="00B532FB" w:rsidRDefault="0011360D" w:rsidP="000C6F62">
            <w:r>
              <w:t>Inflation Adjustments</w:t>
            </w:r>
          </w:p>
        </w:tc>
        <w:tc>
          <w:tcPr>
            <w:tcW w:w="1440" w:type="dxa"/>
          </w:tcPr>
          <w:p w:rsidR="00B532FB" w:rsidRDefault="00B532FB" w:rsidP="006E10DB">
            <w:pPr>
              <w:spacing w:after="120"/>
            </w:pPr>
          </w:p>
        </w:tc>
        <w:tc>
          <w:tcPr>
            <w:tcW w:w="8208" w:type="dxa"/>
          </w:tcPr>
          <w:p w:rsidR="00B532FB" w:rsidRDefault="00130056" w:rsidP="00173106">
            <w:r>
              <w:t xml:space="preserve">Available </w:t>
            </w:r>
            <w:hyperlink r:id="rId8" w:history="1">
              <w:r w:rsidRPr="00130056">
                <w:rPr>
                  <w:rStyle w:val="Hyperlink"/>
                </w:rPr>
                <w:t>here</w:t>
              </w:r>
            </w:hyperlink>
            <w:bookmarkStart w:id="0" w:name="_GoBack"/>
            <w:bookmarkEnd w:id="0"/>
          </w:p>
        </w:tc>
      </w:tr>
      <w:tr w:rsidR="007A4A48" w:rsidRPr="00967605" w:rsidTr="00AC6A22">
        <w:tc>
          <w:tcPr>
            <w:tcW w:w="1278" w:type="dxa"/>
          </w:tcPr>
          <w:p w:rsidR="007A4A48" w:rsidRDefault="00A45302" w:rsidP="00B5196E">
            <w:r>
              <w:t>12/15/2020</w:t>
            </w:r>
          </w:p>
        </w:tc>
        <w:tc>
          <w:tcPr>
            <w:tcW w:w="2250" w:type="dxa"/>
          </w:tcPr>
          <w:p w:rsidR="007A4A48" w:rsidRDefault="006B3EAF" w:rsidP="000C6F62">
            <w:r w:rsidRPr="00A45302">
              <w:t>Current Ex</w:t>
            </w:r>
            <w:r w:rsidR="00A45302">
              <w:t xml:space="preserve">pected Credit Losses </w:t>
            </w:r>
            <w:r w:rsidR="00796B9C">
              <w:t xml:space="preserve">(CECL) </w:t>
            </w:r>
            <w:r w:rsidR="00A45302">
              <w:t>Accounting Standards</w:t>
            </w:r>
          </w:p>
        </w:tc>
        <w:tc>
          <w:tcPr>
            <w:tcW w:w="1440" w:type="dxa"/>
          </w:tcPr>
          <w:p w:rsidR="007A4A48" w:rsidRDefault="007A4A48" w:rsidP="006E10DB">
            <w:pPr>
              <w:spacing w:after="120"/>
            </w:pPr>
          </w:p>
        </w:tc>
        <w:tc>
          <w:tcPr>
            <w:tcW w:w="8208" w:type="dxa"/>
          </w:tcPr>
          <w:p w:rsidR="007A4A48" w:rsidRPr="00173106" w:rsidRDefault="00796B9C" w:rsidP="00796B9C">
            <w:r>
              <w:t>Under CECL, t</w:t>
            </w:r>
            <w:r w:rsidR="00A45302">
              <w:t xml:space="preserve">he allowance for credit losses is a valuation account, measured as the difference between the assets’ amortized cost basis and the net amount </w:t>
            </w:r>
            <w:proofErr w:type="gramStart"/>
            <w:r w:rsidR="00A45302">
              <w:t>expected to be collected</w:t>
            </w:r>
            <w:proofErr w:type="gramEnd"/>
            <w:r w:rsidR="00A45302">
              <w:t xml:space="preserve"> on the financial assets (i.e. lifetime credit losses).  To estimate expected credit losses, credit unions will use a broader range of data than under existing U.S. GAAP.  This includes information about past events, current conditions, and </w:t>
            </w:r>
            <w:proofErr w:type="gramStart"/>
            <w:r w:rsidR="00A45302">
              <w:t>reasonable forecasts in assessing the collectability of the cash flows</w:t>
            </w:r>
            <w:proofErr w:type="gramEnd"/>
            <w:r w:rsidR="00A45302">
              <w:t xml:space="preserve">.  </w:t>
            </w:r>
            <w:r w:rsidR="00916ABC">
              <w:t xml:space="preserve">Expected credit losses </w:t>
            </w:r>
            <w:proofErr w:type="gramStart"/>
            <w:r w:rsidR="00916ABC">
              <w:t>will be measured</w:t>
            </w:r>
            <w:proofErr w:type="gramEnd"/>
            <w:r w:rsidR="00916ABC">
              <w:t xml:space="preserve"> on a collective basis when similar risks exist within the loan portfolio.  </w:t>
            </w:r>
          </w:p>
        </w:tc>
      </w:tr>
    </w:tbl>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1570E9">
        <w:tc>
          <w:tcPr>
            <w:tcW w:w="1278" w:type="dxa"/>
            <w:tcBorders>
              <w:top w:val="nil"/>
              <w:left w:val="nil"/>
              <w:right w:val="nil"/>
            </w:tcBorders>
          </w:tcPr>
          <w:p w:rsidR="00DC082C" w:rsidRDefault="00DC082C" w:rsidP="001570E9">
            <w:pPr>
              <w:rPr>
                <w:b/>
              </w:rPr>
            </w:pPr>
            <w:r>
              <w:rPr>
                <w:b/>
              </w:rPr>
              <w:t>Comments Due</w:t>
            </w:r>
          </w:p>
        </w:tc>
        <w:tc>
          <w:tcPr>
            <w:tcW w:w="2282" w:type="dxa"/>
            <w:tcBorders>
              <w:top w:val="nil"/>
              <w:left w:val="nil"/>
              <w:right w:val="nil"/>
            </w:tcBorders>
          </w:tcPr>
          <w:p w:rsidR="00DC082C" w:rsidRDefault="00DC082C" w:rsidP="001570E9">
            <w:pPr>
              <w:rPr>
                <w:b/>
              </w:rPr>
            </w:pPr>
            <w:r>
              <w:rPr>
                <w:b/>
              </w:rPr>
              <w:t>Regulation</w:t>
            </w:r>
          </w:p>
        </w:tc>
        <w:tc>
          <w:tcPr>
            <w:tcW w:w="1411" w:type="dxa"/>
            <w:tcBorders>
              <w:top w:val="nil"/>
              <w:left w:val="nil"/>
              <w:right w:val="nil"/>
            </w:tcBorders>
          </w:tcPr>
          <w:p w:rsidR="00DC082C" w:rsidRDefault="00DC082C" w:rsidP="001570E9">
            <w:pPr>
              <w:rPr>
                <w:b/>
              </w:rPr>
            </w:pPr>
            <w:r>
              <w:rPr>
                <w:b/>
              </w:rPr>
              <w:t>Citation</w:t>
            </w:r>
          </w:p>
        </w:tc>
        <w:tc>
          <w:tcPr>
            <w:tcW w:w="8205" w:type="dxa"/>
            <w:tcBorders>
              <w:top w:val="nil"/>
              <w:left w:val="nil"/>
              <w:right w:val="nil"/>
            </w:tcBorders>
          </w:tcPr>
          <w:p w:rsidR="00DC082C" w:rsidRDefault="00DC082C" w:rsidP="001570E9">
            <w:pPr>
              <w:rPr>
                <w:b/>
              </w:rPr>
            </w:pPr>
            <w:r>
              <w:rPr>
                <w:b/>
              </w:rPr>
              <w:t>Summary</w:t>
            </w:r>
          </w:p>
        </w:tc>
      </w:tr>
      <w:tr w:rsidR="00DC082C" w:rsidRPr="00967605" w:rsidTr="001570E9">
        <w:tc>
          <w:tcPr>
            <w:tcW w:w="1278" w:type="dxa"/>
          </w:tcPr>
          <w:p w:rsidR="00DC082C" w:rsidRPr="000E1F7A" w:rsidRDefault="00D056A0" w:rsidP="001570E9">
            <w:r>
              <w:t>09/14/2016</w:t>
            </w:r>
          </w:p>
        </w:tc>
        <w:tc>
          <w:tcPr>
            <w:tcW w:w="2282" w:type="dxa"/>
          </w:tcPr>
          <w:p w:rsidR="00DC082C" w:rsidRPr="000E1F7A" w:rsidRDefault="00D056A0" w:rsidP="001570E9">
            <w:r>
              <w:t>Payday, Vehicle Title, and Certain High-Cost Installment Loans (</w:t>
            </w:r>
            <w:hyperlink r:id="rId9" w:history="1">
              <w:r w:rsidRPr="00D056A0">
                <w:rPr>
                  <w:rStyle w:val="Hyperlink"/>
                </w:rPr>
                <w:t>1</w:t>
              </w:r>
            </w:hyperlink>
            <w:r>
              <w:t>,</w:t>
            </w:r>
            <w:hyperlink r:id="rId10" w:history="1">
              <w:r w:rsidRPr="00D056A0">
                <w:rPr>
                  <w:rStyle w:val="Hyperlink"/>
                </w:rPr>
                <w:t>2</w:t>
              </w:r>
            </w:hyperlink>
            <w:r>
              <w:t>,</w:t>
            </w:r>
            <w:hyperlink r:id="rId11" w:history="1">
              <w:r w:rsidRPr="00D056A0">
                <w:rPr>
                  <w:rStyle w:val="Hyperlink"/>
                </w:rPr>
                <w:t>3</w:t>
              </w:r>
            </w:hyperlink>
            <w:r>
              <w:t>)</w:t>
            </w:r>
          </w:p>
        </w:tc>
        <w:tc>
          <w:tcPr>
            <w:tcW w:w="1411" w:type="dxa"/>
          </w:tcPr>
          <w:p w:rsidR="00DC082C" w:rsidRPr="000E1F7A" w:rsidRDefault="00D056A0" w:rsidP="001570E9">
            <w:r>
              <w:t>TBD</w:t>
            </w:r>
          </w:p>
        </w:tc>
        <w:tc>
          <w:tcPr>
            <w:tcW w:w="8205" w:type="dxa"/>
          </w:tcPr>
          <w:p w:rsidR="00D056A0" w:rsidRPr="00D056A0" w:rsidRDefault="00D056A0" w:rsidP="00D056A0">
            <w:pPr>
              <w:pStyle w:val="NormalWeb"/>
              <w:spacing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Pr="00D056A0">
              <w:rPr>
                <w:rFonts w:asciiTheme="minorHAnsi" w:eastAsiaTheme="minorEastAsia" w:hAnsiTheme="minorHAnsi" w:cstheme="minorBidi"/>
                <w:sz w:val="22"/>
                <w:szCs w:val="22"/>
              </w:rPr>
              <w:t xml:space="preserve">he Proposed Rule will require the credit union to presume that the consumer does not have the ability to repay a covered loan, and then prove that they do before making a covered loan.  </w:t>
            </w:r>
            <w:r w:rsidR="00916ABC">
              <w:rPr>
                <w:rFonts w:asciiTheme="minorHAnsi" w:eastAsiaTheme="minorEastAsia" w:hAnsiTheme="minorHAnsi" w:cstheme="minorBidi"/>
                <w:sz w:val="22"/>
                <w:szCs w:val="22"/>
              </w:rPr>
              <w:t>M</w:t>
            </w:r>
            <w:r w:rsidRPr="00D056A0">
              <w:rPr>
                <w:rFonts w:asciiTheme="minorHAnsi" w:eastAsiaTheme="minorEastAsia" w:hAnsiTheme="minorHAnsi" w:cstheme="minorBidi"/>
                <w:sz w:val="22"/>
                <w:szCs w:val="22"/>
              </w:rPr>
              <w:t>aking covered loans without reasonably determining that the consumer will have the ability to repay the loan are abusive and unfair practices</w:t>
            </w:r>
            <w:r w:rsidR="00916ABC">
              <w:rPr>
                <w:rFonts w:asciiTheme="minorHAnsi" w:eastAsiaTheme="minorEastAsia" w:hAnsiTheme="minorHAnsi" w:cstheme="minorBidi"/>
                <w:sz w:val="22"/>
                <w:szCs w:val="22"/>
              </w:rPr>
              <w:t>, with very limited exceptions</w:t>
            </w:r>
            <w:r w:rsidRPr="00D056A0">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D056A0">
              <w:rPr>
                <w:rFonts w:asciiTheme="minorHAnsi" w:eastAsiaTheme="minorEastAsia" w:hAnsiTheme="minorHAnsi" w:cstheme="minorBidi"/>
                <w:sz w:val="22"/>
                <w:szCs w:val="22"/>
              </w:rPr>
              <w:t>A “covered loan” means closed-end or open-end credit that is extended to a consumer primarily for personal, family, or household purposes that is not excluded by the rule.  Specifically, covered loans are:</w:t>
            </w:r>
          </w:p>
          <w:p w:rsidR="00D056A0" w:rsidRPr="00D056A0" w:rsidRDefault="00D056A0" w:rsidP="00D056A0">
            <w:pPr>
              <w:pStyle w:val="NormalWeb"/>
              <w:numPr>
                <w:ilvl w:val="0"/>
                <w:numId w:val="13"/>
              </w:numPr>
              <w:spacing w:before="0" w:beforeAutospacing="0"/>
              <w:rPr>
                <w:rFonts w:asciiTheme="minorHAnsi" w:eastAsiaTheme="minorEastAsia" w:hAnsiTheme="minorHAnsi" w:cstheme="minorBidi"/>
                <w:sz w:val="22"/>
                <w:szCs w:val="22"/>
              </w:rPr>
            </w:pPr>
            <w:r w:rsidRPr="00D056A0">
              <w:rPr>
                <w:rFonts w:asciiTheme="minorHAnsi" w:eastAsiaTheme="minorEastAsia" w:hAnsiTheme="minorHAnsi" w:cstheme="minorBidi"/>
                <w:sz w:val="22"/>
                <w:szCs w:val="22"/>
              </w:rPr>
              <w:t>Short-term loans of 45 days or less, including payday loans, deposit advance products, vehicle title loans, installment loans, and open-end lines of credit; and</w:t>
            </w:r>
          </w:p>
          <w:p w:rsidR="00DC082C" w:rsidRPr="00C950B3" w:rsidRDefault="00D056A0" w:rsidP="00D056A0">
            <w:pPr>
              <w:pStyle w:val="NormalWeb"/>
              <w:numPr>
                <w:ilvl w:val="0"/>
                <w:numId w:val="13"/>
              </w:numPr>
              <w:spacing w:before="0" w:beforeAutospacing="0" w:after="0" w:afterAutospacing="0"/>
              <w:rPr>
                <w:rFonts w:asciiTheme="minorHAnsi" w:eastAsiaTheme="minorEastAsia" w:hAnsiTheme="minorHAnsi" w:cstheme="minorBidi"/>
                <w:sz w:val="22"/>
                <w:szCs w:val="22"/>
              </w:rPr>
            </w:pPr>
            <w:r w:rsidRPr="00D056A0">
              <w:rPr>
                <w:rFonts w:asciiTheme="minorHAnsi" w:eastAsiaTheme="minorEastAsia" w:hAnsiTheme="minorHAnsi" w:cstheme="minorBidi"/>
                <w:sz w:val="22"/>
                <w:szCs w:val="22"/>
              </w:rPr>
              <w:t>Longer-term loans greater than 45 days that have an all-in APR greater than 36% (total cost of credit) and either are repaid directly from the consumers account (leveraged payment method) or direct access to the consumer’s paycheck, or are secured by the consumer’s vehicle.</w:t>
            </w:r>
          </w:p>
        </w:tc>
      </w:tr>
    </w:tbl>
    <w:p w:rsidR="000C6F62" w:rsidRDefault="000C6F62" w:rsidP="000C6F62">
      <w:pPr>
        <w:spacing w:before="240" w:after="0"/>
        <w:rPr>
          <w:b/>
          <w:sz w:val="28"/>
          <w:szCs w:val="28"/>
        </w:rPr>
      </w:pPr>
      <w:r>
        <w:rPr>
          <w:b/>
          <w:sz w:val="28"/>
          <w:szCs w:val="28"/>
        </w:rPr>
        <w:lastRenderedPageBreak/>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A37101">
            <w:pPr>
              <w:rPr>
                <w:b/>
              </w:rPr>
            </w:pPr>
            <w:r>
              <w:rPr>
                <w:b/>
              </w:rPr>
              <w:t>Guidance</w:t>
            </w:r>
          </w:p>
        </w:tc>
        <w:tc>
          <w:tcPr>
            <w:tcW w:w="10875" w:type="dxa"/>
            <w:tcBorders>
              <w:top w:val="nil"/>
              <w:left w:val="nil"/>
              <w:right w:val="nil"/>
            </w:tcBorders>
          </w:tcPr>
          <w:p w:rsidR="000C6F62" w:rsidRDefault="000C6F62" w:rsidP="00A37101">
            <w:pPr>
              <w:rPr>
                <w:b/>
              </w:rPr>
            </w:pPr>
            <w:r>
              <w:rPr>
                <w:b/>
              </w:rPr>
              <w:t>Summary</w:t>
            </w:r>
          </w:p>
        </w:tc>
      </w:tr>
      <w:tr w:rsidR="000C6F62" w:rsidRPr="00967605" w:rsidTr="000C6F62">
        <w:tc>
          <w:tcPr>
            <w:tcW w:w="2283" w:type="dxa"/>
          </w:tcPr>
          <w:p w:rsidR="000C6F62" w:rsidRPr="000E1F7A" w:rsidRDefault="00B170DE" w:rsidP="00A37101">
            <w:hyperlink r:id="rId12" w:history="1">
              <w:r w:rsidR="0011360D" w:rsidRPr="0011360D">
                <w:rPr>
                  <w:rStyle w:val="Hyperlink"/>
                </w:rPr>
                <w:t>Consumer Compliance Outlook – Card Disputes</w:t>
              </w:r>
            </w:hyperlink>
          </w:p>
        </w:tc>
        <w:tc>
          <w:tcPr>
            <w:tcW w:w="10875" w:type="dxa"/>
          </w:tcPr>
          <w:p w:rsidR="000C6F62" w:rsidRPr="007761FF" w:rsidRDefault="0011360D" w:rsidP="00C012BB">
            <w:pPr>
              <w:pStyle w:val="NormalWeb"/>
              <w:spacing w:after="0"/>
              <w:rPr>
                <w:rFonts w:asciiTheme="minorHAnsi" w:hAnsiTheme="minorHAnsi"/>
                <w:sz w:val="22"/>
                <w:szCs w:val="22"/>
                <w:lang w:val="en-CA"/>
              </w:rPr>
            </w:pPr>
            <w:r>
              <w:rPr>
                <w:rFonts w:asciiTheme="minorHAnsi" w:hAnsiTheme="minorHAnsi"/>
                <w:sz w:val="22"/>
                <w:szCs w:val="22"/>
                <w:lang w:val="en-CA"/>
              </w:rPr>
              <w:t>The issue contains an informative article discussing when Regulation E and Regulation Z come into play in regards to consumers disputing transactions with merchants.</w:t>
            </w:r>
          </w:p>
        </w:tc>
      </w:tr>
      <w:tr w:rsidR="00F76BD4" w:rsidRPr="00967605" w:rsidTr="000C6F62">
        <w:tc>
          <w:tcPr>
            <w:tcW w:w="2283" w:type="dxa"/>
          </w:tcPr>
          <w:p w:rsidR="00F76BD4" w:rsidRDefault="00B170DE" w:rsidP="00A37101">
            <w:hyperlink r:id="rId13" w:history="1">
              <w:r w:rsidR="0011360D" w:rsidRPr="0011360D">
                <w:rPr>
                  <w:rStyle w:val="Hyperlink"/>
                </w:rPr>
                <w:t>FFIEC Statement on Safeguarding the Cybersecurity of Interbank Messaging and Payment Networks</w:t>
              </w:r>
            </w:hyperlink>
          </w:p>
        </w:tc>
        <w:tc>
          <w:tcPr>
            <w:tcW w:w="10875" w:type="dxa"/>
          </w:tcPr>
          <w:p w:rsidR="00F76BD4" w:rsidRPr="007761FF" w:rsidRDefault="0011360D" w:rsidP="00F76BD4">
            <w:pPr>
              <w:pStyle w:val="NormalWeb"/>
              <w:spacing w:after="0"/>
              <w:rPr>
                <w:rFonts w:asciiTheme="minorHAnsi" w:hAnsiTheme="minorHAnsi"/>
                <w:sz w:val="22"/>
                <w:szCs w:val="22"/>
                <w:lang w:val="en-CA"/>
              </w:rPr>
            </w:pPr>
            <w:r w:rsidRPr="0011360D">
              <w:rPr>
                <w:rFonts w:asciiTheme="minorHAnsi" w:hAnsiTheme="minorHAnsi"/>
                <w:sz w:val="22"/>
                <w:szCs w:val="22"/>
                <w:lang w:val="en-CA"/>
              </w:rPr>
              <w:t>Credit unions should review their risk management practices (including services provided to clients) and refer to the appropriate FFIEC IT Examination Handbook booklets referenced in this statement for information on regulatory expectations regarding IT risk management. Credit unions should also review and adhere to the technical guidance issued by payments and settlement networks for managing and controlling risks to critical systems.</w:t>
            </w:r>
            <w:r w:rsidR="00101E2B">
              <w:rPr>
                <w:rFonts w:asciiTheme="minorHAnsi" w:hAnsiTheme="minorHAnsi"/>
                <w:sz w:val="22"/>
                <w:szCs w:val="22"/>
                <w:lang w:val="en-CA"/>
              </w:rPr>
              <w:t xml:space="preserve">  </w:t>
            </w:r>
            <w:r w:rsidR="00101E2B" w:rsidRPr="00101E2B">
              <w:rPr>
                <w:rFonts w:asciiTheme="minorHAnsi" w:hAnsiTheme="minorHAnsi"/>
                <w:sz w:val="22"/>
                <w:szCs w:val="22"/>
                <w:lang w:val="en-CA"/>
              </w:rPr>
              <w:t xml:space="preserve">The joint statement notes that recent </w:t>
            </w:r>
            <w:proofErr w:type="spellStart"/>
            <w:r w:rsidR="00101E2B" w:rsidRPr="00101E2B">
              <w:rPr>
                <w:rFonts w:asciiTheme="minorHAnsi" w:hAnsiTheme="minorHAnsi"/>
                <w:sz w:val="22"/>
                <w:szCs w:val="22"/>
                <w:lang w:val="en-CA"/>
              </w:rPr>
              <w:t>cyber attacks</w:t>
            </w:r>
            <w:proofErr w:type="spellEnd"/>
            <w:r w:rsidR="00101E2B" w:rsidRPr="00101E2B">
              <w:rPr>
                <w:rFonts w:asciiTheme="minorHAnsi" w:hAnsiTheme="minorHAnsi"/>
                <w:sz w:val="22"/>
                <w:szCs w:val="22"/>
                <w:lang w:val="en-CA"/>
              </w:rPr>
              <w:t xml:space="preserve"> have targeted interbank messaging and wholesale payment functions at financial institutions to originate unauthorized transactions. These unauthorized transactions may subject a bank that originates such transactions to losses and compliance risk.  This statement does not contain new regulatory expectations. It </w:t>
            </w:r>
            <w:proofErr w:type="gramStart"/>
            <w:r w:rsidR="00101E2B" w:rsidRPr="00101E2B">
              <w:rPr>
                <w:rFonts w:asciiTheme="minorHAnsi" w:hAnsiTheme="minorHAnsi"/>
                <w:sz w:val="22"/>
                <w:szCs w:val="22"/>
                <w:lang w:val="en-CA"/>
              </w:rPr>
              <w:t>is intended</w:t>
            </w:r>
            <w:proofErr w:type="gramEnd"/>
            <w:r w:rsidR="00101E2B" w:rsidRPr="00101E2B">
              <w:rPr>
                <w:rFonts w:asciiTheme="minorHAnsi" w:hAnsiTheme="minorHAnsi"/>
                <w:sz w:val="22"/>
                <w:szCs w:val="22"/>
                <w:lang w:val="en-CA"/>
              </w:rPr>
              <w:t xml:space="preserve"> to alert financial institutions to specific risk mitigation techniques related to cyber attacks exploiting vulnerabilities and unauthorized entry through trusted client terminals running messaging and payment networks.</w:t>
            </w:r>
          </w:p>
        </w:tc>
      </w:tr>
      <w:tr w:rsidR="000F3BF2" w:rsidRPr="00967605" w:rsidTr="000C6F62">
        <w:tc>
          <w:tcPr>
            <w:tcW w:w="2283" w:type="dxa"/>
          </w:tcPr>
          <w:p w:rsidR="000F3BF2" w:rsidRDefault="00B170DE" w:rsidP="00A37101">
            <w:hyperlink r:id="rId14" w:history="1">
              <w:r w:rsidR="000F3BF2" w:rsidRPr="00D569CB">
                <w:rPr>
                  <w:rStyle w:val="Hyperlink"/>
                </w:rPr>
                <w:t>CFPB Supervisory Highlights</w:t>
              </w:r>
            </w:hyperlink>
          </w:p>
        </w:tc>
        <w:tc>
          <w:tcPr>
            <w:tcW w:w="10875" w:type="dxa"/>
          </w:tcPr>
          <w:p w:rsidR="000F3BF2" w:rsidRPr="0011360D" w:rsidRDefault="000F3BF2" w:rsidP="00F76BD4">
            <w:pPr>
              <w:pStyle w:val="NormalWeb"/>
              <w:spacing w:after="0"/>
              <w:rPr>
                <w:rFonts w:asciiTheme="minorHAnsi" w:hAnsiTheme="minorHAnsi"/>
                <w:sz w:val="22"/>
                <w:szCs w:val="22"/>
                <w:lang w:val="en-CA"/>
              </w:rPr>
            </w:pPr>
            <w:r>
              <w:rPr>
                <w:rFonts w:asciiTheme="minorHAnsi" w:hAnsiTheme="minorHAnsi"/>
                <w:sz w:val="22"/>
                <w:szCs w:val="22"/>
                <w:lang w:val="en-CA"/>
              </w:rPr>
              <w:t>The 11</w:t>
            </w:r>
            <w:r w:rsidRPr="000F3BF2">
              <w:rPr>
                <w:rFonts w:asciiTheme="minorHAnsi" w:hAnsiTheme="minorHAnsi"/>
                <w:sz w:val="22"/>
                <w:szCs w:val="22"/>
                <w:vertAlign w:val="superscript"/>
                <w:lang w:val="en-CA"/>
              </w:rPr>
              <w:t>th</w:t>
            </w:r>
            <w:r>
              <w:rPr>
                <w:rFonts w:asciiTheme="minorHAnsi" w:hAnsiTheme="minorHAnsi"/>
                <w:sz w:val="22"/>
                <w:szCs w:val="22"/>
                <w:lang w:val="en-CA"/>
              </w:rPr>
              <w:t xml:space="preserve"> Supervisory Highlights focuses on mortgage servicing, and the </w:t>
            </w:r>
            <w:r w:rsidR="00D569CB">
              <w:rPr>
                <w:rFonts w:asciiTheme="minorHAnsi" w:hAnsiTheme="minorHAnsi"/>
                <w:sz w:val="22"/>
                <w:szCs w:val="22"/>
                <w:lang w:val="en-CA"/>
              </w:rPr>
              <w:t>deficiencies identified during examinations – loss mitigation acknowledgement notices, loss mitigation offers and related communications, loan modification denial notices, policies and procedures, and servicing transfers.</w:t>
            </w:r>
          </w:p>
        </w:tc>
      </w:tr>
      <w:tr w:rsidR="008756E8" w:rsidRPr="00967605" w:rsidTr="000C6F62">
        <w:tc>
          <w:tcPr>
            <w:tcW w:w="2283" w:type="dxa"/>
          </w:tcPr>
          <w:p w:rsidR="008756E8" w:rsidRDefault="00B170DE" w:rsidP="00A37101">
            <w:hyperlink r:id="rId15" w:history="1">
              <w:r w:rsidR="00D056A0" w:rsidRPr="00D056A0">
                <w:rPr>
                  <w:rStyle w:val="Hyperlink"/>
                </w:rPr>
                <w:t>CFPB Supervisory Highlights</w:t>
              </w:r>
            </w:hyperlink>
          </w:p>
        </w:tc>
        <w:tc>
          <w:tcPr>
            <w:tcW w:w="10875" w:type="dxa"/>
          </w:tcPr>
          <w:p w:rsidR="008756E8" w:rsidRDefault="000F3BF2" w:rsidP="000F3BF2">
            <w:pPr>
              <w:pStyle w:val="NormalWeb"/>
              <w:spacing w:after="0"/>
              <w:rPr>
                <w:rFonts w:asciiTheme="minorHAnsi" w:hAnsiTheme="minorHAnsi"/>
                <w:sz w:val="22"/>
                <w:szCs w:val="22"/>
                <w:lang w:val="en-CA"/>
              </w:rPr>
            </w:pPr>
            <w:r>
              <w:rPr>
                <w:rFonts w:asciiTheme="minorHAnsi" w:hAnsiTheme="minorHAnsi"/>
                <w:sz w:val="22"/>
                <w:szCs w:val="22"/>
                <w:lang w:val="en-CA"/>
              </w:rPr>
              <w:t>The CFPB released its 10</w:t>
            </w:r>
            <w:r w:rsidRPr="000F3BF2">
              <w:rPr>
                <w:rFonts w:asciiTheme="minorHAnsi" w:hAnsiTheme="minorHAnsi"/>
                <w:sz w:val="22"/>
                <w:szCs w:val="22"/>
                <w:vertAlign w:val="superscript"/>
                <w:lang w:val="en-CA"/>
              </w:rPr>
              <w:t>th</w:t>
            </w:r>
            <w:r>
              <w:rPr>
                <w:rFonts w:asciiTheme="minorHAnsi" w:hAnsiTheme="minorHAnsi"/>
                <w:sz w:val="22"/>
                <w:szCs w:val="22"/>
                <w:lang w:val="en-CA"/>
              </w:rPr>
              <w:t xml:space="preserve"> </w:t>
            </w:r>
            <w:r w:rsidR="00D056A0" w:rsidRPr="00D056A0">
              <w:rPr>
                <w:rFonts w:asciiTheme="minorHAnsi" w:hAnsiTheme="minorHAnsi"/>
                <w:sz w:val="22"/>
                <w:szCs w:val="22"/>
                <w:lang w:val="en-CA"/>
              </w:rPr>
              <w:t>Supervisory Highlights, which focuses on consumer reporting, mortgage origination, fair lending, debt collection, remittances and student loan servicing.</w:t>
            </w:r>
          </w:p>
        </w:tc>
      </w:tr>
    </w:tbl>
    <w:p w:rsidR="000C6F62" w:rsidRDefault="000C6F62" w:rsidP="00D1188B"/>
    <w:p w:rsidR="0007572E" w:rsidRDefault="0011360D">
      <w:r>
        <w:t xml:space="preserve">The NCUA released a Request for Information regarding modernizing the </w:t>
      </w:r>
      <w:hyperlink r:id="rId16" w:history="1">
        <w:r w:rsidRPr="0011360D">
          <w:rPr>
            <w:rStyle w:val="Hyperlink"/>
          </w:rPr>
          <w:t>Call Report</w:t>
        </w:r>
      </w:hyperlink>
      <w:r>
        <w:t xml:space="preserve">.  Responses </w:t>
      </w:r>
      <w:proofErr w:type="gramStart"/>
      <w:r>
        <w:t>must be received</w:t>
      </w:r>
      <w:proofErr w:type="gramEnd"/>
      <w:r>
        <w:t xml:space="preserve"> by August 1</w:t>
      </w:r>
      <w:r w:rsidR="00242AFD">
        <w:t>5</w:t>
      </w:r>
      <w:r>
        <w:t xml:space="preserve">, 2016.  The RFI requests assistance in identifying the interrelated considerations and challenges associated with improving the Call Report and Profile.  </w:t>
      </w:r>
    </w:p>
    <w:p w:rsidR="00702F58" w:rsidRDefault="00702F58">
      <w:r>
        <w:t xml:space="preserve">NCUA is also looking at adding “S” to the CAMEL rating system, for “sensitivity to market risk.”  Currently, the NCUA assesses interest rate risk as part of the Liquidity rating, however Examination and Insurance staff believe the changing size and complexity of the credit union system warrants its adoption.  Federal banking supervisors already include “S” in the rating system.  NCUA is planning </w:t>
      </w:r>
      <w:r w:rsidR="00AB5FAD">
        <w:t>to release</w:t>
      </w:r>
      <w:r>
        <w:t xml:space="preserve"> a proposal by the end of third quarter, with a possible implementation in 2018.  </w:t>
      </w:r>
    </w:p>
    <w:p w:rsidR="007E5A30" w:rsidRDefault="007E5A30" w:rsidP="00D830AA"/>
    <w:sectPr w:rsidR="007E5A30" w:rsidSect="004670B2">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DE" w:rsidRDefault="00B170DE" w:rsidP="009516FB">
      <w:pPr>
        <w:spacing w:after="0" w:line="240" w:lineRule="auto"/>
      </w:pPr>
      <w:r>
        <w:separator/>
      </w:r>
    </w:p>
  </w:endnote>
  <w:endnote w:type="continuationSeparator" w:id="0">
    <w:p w:rsidR="00B170DE" w:rsidRDefault="00B170DE"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B" w:rsidRDefault="00C5176C"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w:t>
    </w:r>
    <w:r w:rsidR="00526961">
      <w:t xml:space="preserve">Legislative Update </w:t>
    </w:r>
    <w:r w:rsidR="00746F90">
      <w:t>June</w:t>
    </w:r>
    <w:r w:rsidR="0042461E">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DE" w:rsidRDefault="00B170DE" w:rsidP="009516FB">
      <w:pPr>
        <w:spacing w:after="0" w:line="240" w:lineRule="auto"/>
      </w:pPr>
      <w:r>
        <w:separator/>
      </w:r>
    </w:p>
  </w:footnote>
  <w:footnote w:type="continuationSeparator" w:id="0">
    <w:p w:rsidR="00B170DE" w:rsidRDefault="00B170DE" w:rsidP="0095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28335"/>
      <w:docPartObj>
        <w:docPartGallery w:val="Page Numbers (Top of Page)"/>
        <w:docPartUnique/>
      </w:docPartObj>
    </w:sdtPr>
    <w:sdtEndPr>
      <w:rPr>
        <w:noProof/>
      </w:rPr>
    </w:sdtEndPr>
    <w:sdtContent>
      <w:p w:rsidR="00A54A69" w:rsidRDefault="00A54A69">
        <w:pPr>
          <w:pStyle w:val="Header"/>
          <w:jc w:val="right"/>
        </w:pPr>
        <w:r>
          <w:fldChar w:fldCharType="begin"/>
        </w:r>
        <w:r>
          <w:instrText xml:space="preserve"> PAGE   \* MERGEFORMAT </w:instrText>
        </w:r>
        <w:r>
          <w:fldChar w:fldCharType="separate"/>
        </w:r>
        <w:r w:rsidR="00C607BA">
          <w:rPr>
            <w:noProof/>
          </w:rPr>
          <w:t>1</w:t>
        </w:r>
        <w:r>
          <w:rPr>
            <w:noProof/>
          </w:rPr>
          <w:fldChar w:fldCharType="end"/>
        </w:r>
      </w:p>
    </w:sdtContent>
  </w:sdt>
  <w:p w:rsidR="007E5A30" w:rsidRDefault="007E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9C"/>
    <w:multiLevelType w:val="hybridMultilevel"/>
    <w:tmpl w:val="502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5"/>
  </w:num>
  <w:num w:numId="5">
    <w:abstractNumId w:val="9"/>
  </w:num>
  <w:num w:numId="6">
    <w:abstractNumId w:val="2"/>
  </w:num>
  <w:num w:numId="7">
    <w:abstractNumId w:val="8"/>
  </w:num>
  <w:num w:numId="8">
    <w:abstractNumId w:val="7"/>
  </w:num>
  <w:num w:numId="9">
    <w:abstractNumId w:val="12"/>
  </w:num>
  <w:num w:numId="10">
    <w:abstractNumId w:val="4"/>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FA8"/>
    <w:rsid w:val="00036A9E"/>
    <w:rsid w:val="0004395A"/>
    <w:rsid w:val="00050E93"/>
    <w:rsid w:val="00053D69"/>
    <w:rsid w:val="00071F35"/>
    <w:rsid w:val="0007572E"/>
    <w:rsid w:val="000C1C79"/>
    <w:rsid w:val="000C6F62"/>
    <w:rsid w:val="000E0E4E"/>
    <w:rsid w:val="000E1F7A"/>
    <w:rsid w:val="000F3BF2"/>
    <w:rsid w:val="00101E2B"/>
    <w:rsid w:val="00105532"/>
    <w:rsid w:val="00105BF0"/>
    <w:rsid w:val="0011360D"/>
    <w:rsid w:val="00114BD2"/>
    <w:rsid w:val="0012584F"/>
    <w:rsid w:val="00130056"/>
    <w:rsid w:val="00137A4B"/>
    <w:rsid w:val="00154381"/>
    <w:rsid w:val="00155503"/>
    <w:rsid w:val="00155BB2"/>
    <w:rsid w:val="00173106"/>
    <w:rsid w:val="00174A57"/>
    <w:rsid w:val="00176A30"/>
    <w:rsid w:val="001924F5"/>
    <w:rsid w:val="001A5112"/>
    <w:rsid w:val="001C24FB"/>
    <w:rsid w:val="001F4193"/>
    <w:rsid w:val="00207316"/>
    <w:rsid w:val="0022595F"/>
    <w:rsid w:val="00233F19"/>
    <w:rsid w:val="002362A2"/>
    <w:rsid w:val="00242AFD"/>
    <w:rsid w:val="00251848"/>
    <w:rsid w:val="00261F16"/>
    <w:rsid w:val="002635E0"/>
    <w:rsid w:val="00265D6B"/>
    <w:rsid w:val="00272CD7"/>
    <w:rsid w:val="00274CDA"/>
    <w:rsid w:val="002B38F0"/>
    <w:rsid w:val="002B4E3D"/>
    <w:rsid w:val="002C4A0B"/>
    <w:rsid w:val="002E109D"/>
    <w:rsid w:val="002F3DF3"/>
    <w:rsid w:val="003011AF"/>
    <w:rsid w:val="003245BB"/>
    <w:rsid w:val="00356321"/>
    <w:rsid w:val="00366CE9"/>
    <w:rsid w:val="0038010D"/>
    <w:rsid w:val="003B2BCF"/>
    <w:rsid w:val="003B5637"/>
    <w:rsid w:val="003B5E21"/>
    <w:rsid w:val="003C7920"/>
    <w:rsid w:val="003D64B3"/>
    <w:rsid w:val="003E0302"/>
    <w:rsid w:val="003E2AD1"/>
    <w:rsid w:val="003E2F29"/>
    <w:rsid w:val="003E70C6"/>
    <w:rsid w:val="003F618F"/>
    <w:rsid w:val="00404C9F"/>
    <w:rsid w:val="004070E9"/>
    <w:rsid w:val="0042461E"/>
    <w:rsid w:val="00435186"/>
    <w:rsid w:val="00444FFD"/>
    <w:rsid w:val="00445E61"/>
    <w:rsid w:val="00451B34"/>
    <w:rsid w:val="00451DB7"/>
    <w:rsid w:val="00453DA0"/>
    <w:rsid w:val="004629C9"/>
    <w:rsid w:val="004670B2"/>
    <w:rsid w:val="0048047D"/>
    <w:rsid w:val="004B0CF2"/>
    <w:rsid w:val="004B1A12"/>
    <w:rsid w:val="004B7407"/>
    <w:rsid w:val="004C2F31"/>
    <w:rsid w:val="004C4FD5"/>
    <w:rsid w:val="004D5C8D"/>
    <w:rsid w:val="004F7B91"/>
    <w:rsid w:val="00502F4F"/>
    <w:rsid w:val="00503A84"/>
    <w:rsid w:val="00513A6B"/>
    <w:rsid w:val="005208A0"/>
    <w:rsid w:val="00525941"/>
    <w:rsid w:val="00526961"/>
    <w:rsid w:val="0057444C"/>
    <w:rsid w:val="005A164C"/>
    <w:rsid w:val="005B2EEA"/>
    <w:rsid w:val="005D4EA4"/>
    <w:rsid w:val="005F4D1E"/>
    <w:rsid w:val="00605BAB"/>
    <w:rsid w:val="00615725"/>
    <w:rsid w:val="006175A1"/>
    <w:rsid w:val="006264E4"/>
    <w:rsid w:val="00630088"/>
    <w:rsid w:val="00630275"/>
    <w:rsid w:val="00634CA3"/>
    <w:rsid w:val="00644E58"/>
    <w:rsid w:val="006468AC"/>
    <w:rsid w:val="00667C6B"/>
    <w:rsid w:val="00672066"/>
    <w:rsid w:val="00692031"/>
    <w:rsid w:val="00693EF2"/>
    <w:rsid w:val="006A0683"/>
    <w:rsid w:val="006A7271"/>
    <w:rsid w:val="006B3EAF"/>
    <w:rsid w:val="006B67AC"/>
    <w:rsid w:val="006C0A16"/>
    <w:rsid w:val="006D0C47"/>
    <w:rsid w:val="006D4256"/>
    <w:rsid w:val="006E10DB"/>
    <w:rsid w:val="00702F58"/>
    <w:rsid w:val="007075BA"/>
    <w:rsid w:val="00710285"/>
    <w:rsid w:val="007122A3"/>
    <w:rsid w:val="00734132"/>
    <w:rsid w:val="00746F90"/>
    <w:rsid w:val="0075139C"/>
    <w:rsid w:val="0076011C"/>
    <w:rsid w:val="007761FF"/>
    <w:rsid w:val="0079268D"/>
    <w:rsid w:val="00796B9C"/>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47BAF"/>
    <w:rsid w:val="00857D6B"/>
    <w:rsid w:val="00864656"/>
    <w:rsid w:val="00870B44"/>
    <w:rsid w:val="0087131F"/>
    <w:rsid w:val="00873B59"/>
    <w:rsid w:val="008756E8"/>
    <w:rsid w:val="00881E57"/>
    <w:rsid w:val="008821F9"/>
    <w:rsid w:val="00886D2A"/>
    <w:rsid w:val="00897886"/>
    <w:rsid w:val="008A14C6"/>
    <w:rsid w:val="008B03E6"/>
    <w:rsid w:val="008B5C5C"/>
    <w:rsid w:val="008C7F59"/>
    <w:rsid w:val="008E296D"/>
    <w:rsid w:val="00916ABC"/>
    <w:rsid w:val="00920A21"/>
    <w:rsid w:val="00924FE5"/>
    <w:rsid w:val="00925885"/>
    <w:rsid w:val="00926DC7"/>
    <w:rsid w:val="009322F0"/>
    <w:rsid w:val="009516FB"/>
    <w:rsid w:val="00980C97"/>
    <w:rsid w:val="009837E4"/>
    <w:rsid w:val="00983CC0"/>
    <w:rsid w:val="00990BAD"/>
    <w:rsid w:val="0099695C"/>
    <w:rsid w:val="009A5E71"/>
    <w:rsid w:val="009A716D"/>
    <w:rsid w:val="009A7FE9"/>
    <w:rsid w:val="009B25D5"/>
    <w:rsid w:val="009C4E16"/>
    <w:rsid w:val="009C7AC9"/>
    <w:rsid w:val="009E1BCF"/>
    <w:rsid w:val="00A03475"/>
    <w:rsid w:val="00A10A42"/>
    <w:rsid w:val="00A367AD"/>
    <w:rsid w:val="00A45302"/>
    <w:rsid w:val="00A54A69"/>
    <w:rsid w:val="00A731C9"/>
    <w:rsid w:val="00A770CD"/>
    <w:rsid w:val="00A775BA"/>
    <w:rsid w:val="00A81DA4"/>
    <w:rsid w:val="00A82B32"/>
    <w:rsid w:val="00A84002"/>
    <w:rsid w:val="00A8721F"/>
    <w:rsid w:val="00A97370"/>
    <w:rsid w:val="00AB217B"/>
    <w:rsid w:val="00AB5FAD"/>
    <w:rsid w:val="00AC28C6"/>
    <w:rsid w:val="00AC6A22"/>
    <w:rsid w:val="00AD2397"/>
    <w:rsid w:val="00AD5A87"/>
    <w:rsid w:val="00AE3AA2"/>
    <w:rsid w:val="00AF302A"/>
    <w:rsid w:val="00B01B28"/>
    <w:rsid w:val="00B11197"/>
    <w:rsid w:val="00B1548D"/>
    <w:rsid w:val="00B170DE"/>
    <w:rsid w:val="00B34E2E"/>
    <w:rsid w:val="00B355D2"/>
    <w:rsid w:val="00B35870"/>
    <w:rsid w:val="00B440A3"/>
    <w:rsid w:val="00B52D08"/>
    <w:rsid w:val="00B532FB"/>
    <w:rsid w:val="00B623E9"/>
    <w:rsid w:val="00B66E90"/>
    <w:rsid w:val="00B71928"/>
    <w:rsid w:val="00B819BC"/>
    <w:rsid w:val="00BA5444"/>
    <w:rsid w:val="00C012BB"/>
    <w:rsid w:val="00C02DF2"/>
    <w:rsid w:val="00C0564A"/>
    <w:rsid w:val="00C12A79"/>
    <w:rsid w:val="00C15E43"/>
    <w:rsid w:val="00C1691D"/>
    <w:rsid w:val="00C40D53"/>
    <w:rsid w:val="00C417A3"/>
    <w:rsid w:val="00C5176C"/>
    <w:rsid w:val="00C52445"/>
    <w:rsid w:val="00C53A07"/>
    <w:rsid w:val="00C607BA"/>
    <w:rsid w:val="00C721DB"/>
    <w:rsid w:val="00C83BE8"/>
    <w:rsid w:val="00C950B3"/>
    <w:rsid w:val="00CA0305"/>
    <w:rsid w:val="00CA2872"/>
    <w:rsid w:val="00CC0282"/>
    <w:rsid w:val="00CC60FF"/>
    <w:rsid w:val="00CD1AC9"/>
    <w:rsid w:val="00CE1A73"/>
    <w:rsid w:val="00CF22C2"/>
    <w:rsid w:val="00D056A0"/>
    <w:rsid w:val="00D1188B"/>
    <w:rsid w:val="00D25AD2"/>
    <w:rsid w:val="00D311E0"/>
    <w:rsid w:val="00D42123"/>
    <w:rsid w:val="00D569CB"/>
    <w:rsid w:val="00D830AA"/>
    <w:rsid w:val="00D84C38"/>
    <w:rsid w:val="00DB2422"/>
    <w:rsid w:val="00DC082C"/>
    <w:rsid w:val="00DC094A"/>
    <w:rsid w:val="00DC5948"/>
    <w:rsid w:val="00DD0103"/>
    <w:rsid w:val="00DD3ABC"/>
    <w:rsid w:val="00DF483C"/>
    <w:rsid w:val="00E02279"/>
    <w:rsid w:val="00E11D08"/>
    <w:rsid w:val="00E13DD7"/>
    <w:rsid w:val="00E60521"/>
    <w:rsid w:val="00E60F45"/>
    <w:rsid w:val="00E80D83"/>
    <w:rsid w:val="00EC5CB5"/>
    <w:rsid w:val="00F02739"/>
    <w:rsid w:val="00F059BB"/>
    <w:rsid w:val="00F1541A"/>
    <w:rsid w:val="00F2538A"/>
    <w:rsid w:val="00F26D48"/>
    <w:rsid w:val="00F443AC"/>
    <w:rsid w:val="00F507E6"/>
    <w:rsid w:val="00F55547"/>
    <w:rsid w:val="00F6705E"/>
    <w:rsid w:val="00F7041B"/>
    <w:rsid w:val="00F76BD4"/>
    <w:rsid w:val="00F970CC"/>
    <w:rsid w:val="00FA16B3"/>
    <w:rsid w:val="00FC005D"/>
    <w:rsid w:val="00FD3FF3"/>
    <w:rsid w:val="00FD690C"/>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uc.com/wp-content/uploads/2016/07/Inflation-Adjustments.docx" TargetMode="External"/><Relationship Id="rId13" Type="http://schemas.openxmlformats.org/officeDocument/2006/relationships/hyperlink" Target="https://nwcuc.com/ffiec-issues-statement-safeguarding-cybersecurity-interbank-messaging-payment-network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wcuc.com/consumer-compliance-outlook-card-dispu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wcuc.com/call-report-modernization-request-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wcuc.com/proposed-payday-loan-rule-part-3/" TargetMode="External"/><Relationship Id="rId5" Type="http://schemas.openxmlformats.org/officeDocument/2006/relationships/webSettings" Target="webSettings.xml"/><Relationship Id="rId15" Type="http://schemas.openxmlformats.org/officeDocument/2006/relationships/hyperlink" Target="https://nwcuc.com/cfpb-supervisory-highlights/" TargetMode="External"/><Relationship Id="rId10" Type="http://schemas.openxmlformats.org/officeDocument/2006/relationships/hyperlink" Target="https://nwcuc.com/proposed-payday-loan-rule-part-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wcuc.com/proposed-payday-loan-rule-part-1/" TargetMode="External"/><Relationship Id="rId14" Type="http://schemas.openxmlformats.org/officeDocument/2006/relationships/hyperlink" Target="http://www.consumerfinance.gov/policy-compliance/guidance/supervision-examinations/supervisory-highlights-mortgage-servicing-special-edition-issue-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13</cp:revision>
  <cp:lastPrinted>2016-06-23T15:53:00Z</cp:lastPrinted>
  <dcterms:created xsi:type="dcterms:W3CDTF">2016-06-22T19:26:00Z</dcterms:created>
  <dcterms:modified xsi:type="dcterms:W3CDTF">2016-07-05T15:02:00Z</dcterms:modified>
</cp:coreProperties>
</file>