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CF" w:rsidRDefault="009E1BCF" w:rsidP="007B2E65">
      <w:pPr>
        <w:spacing w:after="0"/>
        <w:rPr>
          <w:b/>
          <w:sz w:val="28"/>
          <w:szCs w:val="28"/>
        </w:rPr>
      </w:pPr>
    </w:p>
    <w:p w:rsidR="004670B2" w:rsidRPr="00967605" w:rsidRDefault="004670B2" w:rsidP="007B2E65">
      <w:pPr>
        <w:spacing w:after="0"/>
        <w:rPr>
          <w:sz w:val="28"/>
          <w:szCs w:val="28"/>
        </w:rPr>
      </w:pPr>
      <w:r w:rsidRPr="00967605">
        <w:rPr>
          <w:b/>
          <w:sz w:val="28"/>
          <w:szCs w:val="28"/>
        </w:rPr>
        <w:t>FINAL REGULATIONS</w:t>
      </w:r>
      <w:r w:rsidR="008756E8">
        <w:rPr>
          <w:b/>
          <w:sz w:val="28"/>
          <w:szCs w:val="28"/>
        </w:rPr>
        <w:t>/RULES</w:t>
      </w:r>
    </w:p>
    <w:tbl>
      <w:tblPr>
        <w:tblStyle w:val="TableGrid"/>
        <w:tblW w:w="13176" w:type="dxa"/>
        <w:tblLook w:val="04A0" w:firstRow="1" w:lastRow="0" w:firstColumn="1" w:lastColumn="0" w:noHBand="0" w:noVBand="1"/>
      </w:tblPr>
      <w:tblGrid>
        <w:gridCol w:w="1278"/>
        <w:gridCol w:w="2250"/>
        <w:gridCol w:w="1440"/>
        <w:gridCol w:w="8208"/>
      </w:tblGrid>
      <w:tr w:rsidR="00AC6A22" w:rsidTr="00AC6A22">
        <w:tc>
          <w:tcPr>
            <w:tcW w:w="1278" w:type="dxa"/>
            <w:tcBorders>
              <w:top w:val="nil"/>
              <w:left w:val="nil"/>
              <w:right w:val="nil"/>
            </w:tcBorders>
          </w:tcPr>
          <w:p w:rsidR="00AC6A22" w:rsidRDefault="00AC6A22" w:rsidP="00B5196E">
            <w:pPr>
              <w:rPr>
                <w:b/>
              </w:rPr>
            </w:pPr>
            <w:r>
              <w:rPr>
                <w:b/>
              </w:rPr>
              <w:t>Effective Date</w:t>
            </w:r>
          </w:p>
        </w:tc>
        <w:tc>
          <w:tcPr>
            <w:tcW w:w="2250" w:type="dxa"/>
            <w:tcBorders>
              <w:top w:val="nil"/>
              <w:left w:val="nil"/>
              <w:right w:val="nil"/>
            </w:tcBorders>
          </w:tcPr>
          <w:p w:rsidR="00AC6A22" w:rsidRDefault="00AC6A22" w:rsidP="00B5196E">
            <w:pPr>
              <w:rPr>
                <w:b/>
              </w:rPr>
            </w:pPr>
            <w:r>
              <w:rPr>
                <w:b/>
              </w:rPr>
              <w:t>Regulation</w:t>
            </w:r>
          </w:p>
        </w:tc>
        <w:tc>
          <w:tcPr>
            <w:tcW w:w="1440" w:type="dxa"/>
            <w:tcBorders>
              <w:top w:val="nil"/>
              <w:left w:val="nil"/>
              <w:right w:val="nil"/>
            </w:tcBorders>
          </w:tcPr>
          <w:p w:rsidR="00AC6A22" w:rsidRDefault="00AC6A22" w:rsidP="00B5196E">
            <w:pPr>
              <w:rPr>
                <w:b/>
              </w:rPr>
            </w:pPr>
            <w:r>
              <w:rPr>
                <w:b/>
              </w:rPr>
              <w:t>Citation</w:t>
            </w:r>
          </w:p>
        </w:tc>
        <w:tc>
          <w:tcPr>
            <w:tcW w:w="8208" w:type="dxa"/>
            <w:tcBorders>
              <w:top w:val="nil"/>
              <w:left w:val="nil"/>
              <w:right w:val="nil"/>
            </w:tcBorders>
          </w:tcPr>
          <w:p w:rsidR="00AC6A22" w:rsidRDefault="00AC6A22" w:rsidP="00B5196E">
            <w:pPr>
              <w:rPr>
                <w:b/>
              </w:rPr>
            </w:pPr>
            <w:r>
              <w:rPr>
                <w:b/>
              </w:rPr>
              <w:t>Summary</w:t>
            </w:r>
          </w:p>
        </w:tc>
      </w:tr>
      <w:tr w:rsidR="007761FF" w:rsidRPr="00967605" w:rsidTr="00643BEB">
        <w:tc>
          <w:tcPr>
            <w:tcW w:w="1278" w:type="dxa"/>
          </w:tcPr>
          <w:p w:rsidR="007761FF" w:rsidRDefault="007761FF" w:rsidP="00B5196E">
            <w:r>
              <w:t>10/14/2016</w:t>
            </w:r>
          </w:p>
        </w:tc>
        <w:tc>
          <w:tcPr>
            <w:tcW w:w="3690" w:type="dxa"/>
            <w:gridSpan w:val="2"/>
          </w:tcPr>
          <w:p w:rsidR="007761FF" w:rsidRDefault="00E13DD7" w:rsidP="006E10DB">
            <w:pPr>
              <w:spacing w:after="120"/>
            </w:pPr>
            <w:hyperlink r:id="rId8" w:history="1">
              <w:r w:rsidR="007761FF" w:rsidRPr="007761FF">
                <w:rPr>
                  <w:rStyle w:val="Hyperlink"/>
                </w:rPr>
                <w:t>Visa Product and Service Rules</w:t>
              </w:r>
            </w:hyperlink>
          </w:p>
        </w:tc>
        <w:tc>
          <w:tcPr>
            <w:tcW w:w="8208" w:type="dxa"/>
          </w:tcPr>
          <w:p w:rsidR="007761FF" w:rsidRPr="007761FF" w:rsidRDefault="007761FF" w:rsidP="007761FF">
            <w:pPr>
              <w:shd w:val="clear" w:color="auto" w:fill="FFFFFF"/>
              <w:rPr>
                <w:rFonts w:eastAsia="Times New Roman" w:cs="Arial"/>
              </w:rPr>
            </w:pPr>
            <w:r w:rsidRPr="007761FF">
              <w:rPr>
                <w:rFonts w:eastAsia="Times New Roman" w:cs="Arial"/>
              </w:rPr>
              <w:t>A US Issuer must provide its Cardholders the option to participate in a service that delivers Transaction alerts for Transactions processed on a consumer Card, excluding a Non-Reloadable Card, and routed as follows:</w:t>
            </w:r>
          </w:p>
          <w:p w:rsidR="007761FF" w:rsidRPr="007761FF" w:rsidRDefault="007761FF" w:rsidP="007761FF">
            <w:pPr>
              <w:numPr>
                <w:ilvl w:val="0"/>
                <w:numId w:val="5"/>
              </w:numPr>
              <w:shd w:val="clear" w:color="auto" w:fill="FFFFFF"/>
              <w:ind w:left="397"/>
              <w:rPr>
                <w:rFonts w:eastAsia="Times New Roman" w:cs="Arial"/>
              </w:rPr>
            </w:pPr>
            <w:r w:rsidRPr="007761FF">
              <w:rPr>
                <w:rFonts w:eastAsia="Times New Roman" w:cs="Arial"/>
              </w:rPr>
              <w:t xml:space="preserve">Visa Transactions routed through </w:t>
            </w:r>
            <w:proofErr w:type="spellStart"/>
            <w:r w:rsidRPr="007761FF">
              <w:rPr>
                <w:rFonts w:eastAsia="Times New Roman" w:cs="Arial"/>
              </w:rPr>
              <w:t>VisaNet</w:t>
            </w:r>
            <w:proofErr w:type="spellEnd"/>
          </w:p>
          <w:p w:rsidR="007761FF" w:rsidRPr="007761FF" w:rsidRDefault="007761FF" w:rsidP="007761FF">
            <w:pPr>
              <w:numPr>
                <w:ilvl w:val="0"/>
                <w:numId w:val="5"/>
              </w:numPr>
              <w:shd w:val="clear" w:color="auto" w:fill="FFFFFF"/>
              <w:ind w:left="397"/>
              <w:rPr>
                <w:rFonts w:eastAsia="Times New Roman" w:cs="Arial"/>
              </w:rPr>
            </w:pPr>
            <w:r w:rsidRPr="007761FF">
              <w:rPr>
                <w:rFonts w:eastAsia="Times New Roman" w:cs="Arial"/>
              </w:rPr>
              <w:t>Interlink transactions routed through the Interlink Network</w:t>
            </w:r>
          </w:p>
          <w:p w:rsidR="007761FF" w:rsidRPr="007761FF" w:rsidRDefault="007761FF" w:rsidP="007761FF">
            <w:pPr>
              <w:numPr>
                <w:ilvl w:val="0"/>
                <w:numId w:val="5"/>
              </w:numPr>
              <w:shd w:val="clear" w:color="auto" w:fill="FFFFFF"/>
              <w:ind w:left="397"/>
              <w:rPr>
                <w:rFonts w:eastAsia="Times New Roman" w:cs="Arial"/>
              </w:rPr>
            </w:pPr>
            <w:r w:rsidRPr="007761FF">
              <w:rPr>
                <w:rFonts w:eastAsia="Times New Roman" w:cs="Arial"/>
              </w:rPr>
              <w:t>Plus transactions routed through the Plus Network</w:t>
            </w:r>
          </w:p>
          <w:p w:rsidR="007761FF" w:rsidRPr="007761FF" w:rsidRDefault="007761FF" w:rsidP="007761FF">
            <w:pPr>
              <w:shd w:val="clear" w:color="auto" w:fill="FFFFFF"/>
              <w:rPr>
                <w:rFonts w:eastAsia="Times New Roman" w:cs="Arial"/>
                <w:color w:val="4F4F52"/>
              </w:rPr>
            </w:pPr>
            <w:r w:rsidRPr="007761FF">
              <w:rPr>
                <w:rFonts w:eastAsia="Times New Roman" w:cs="Arial"/>
              </w:rPr>
              <w:t xml:space="preserve">The Issuer may offer this service </w:t>
            </w:r>
            <w:proofErr w:type="gramStart"/>
            <w:r w:rsidRPr="007761FF">
              <w:rPr>
                <w:rFonts w:eastAsia="Times New Roman" w:cs="Arial"/>
              </w:rPr>
              <w:t>either itself,</w:t>
            </w:r>
            <w:proofErr w:type="gramEnd"/>
            <w:r w:rsidRPr="007761FF">
              <w:rPr>
                <w:rFonts w:eastAsia="Times New Roman" w:cs="Arial"/>
              </w:rPr>
              <w:t xml:space="preserve"> through a </w:t>
            </w:r>
            <w:proofErr w:type="spellStart"/>
            <w:r w:rsidRPr="007761FF">
              <w:rPr>
                <w:rFonts w:eastAsia="Times New Roman" w:cs="Arial"/>
              </w:rPr>
              <w:t>VisaNet</w:t>
            </w:r>
            <w:proofErr w:type="spellEnd"/>
            <w:r w:rsidRPr="007761FF">
              <w:rPr>
                <w:rFonts w:eastAsia="Times New Roman" w:cs="Arial"/>
              </w:rPr>
              <w:t xml:space="preserve"> Processor, a third-party service provider, or the Visa Transaction Alerts Service.</w:t>
            </w:r>
          </w:p>
        </w:tc>
      </w:tr>
      <w:tr w:rsidR="00B532FB" w:rsidRPr="00967605" w:rsidTr="00AC6A22">
        <w:tc>
          <w:tcPr>
            <w:tcW w:w="1278" w:type="dxa"/>
          </w:tcPr>
          <w:p w:rsidR="00B532FB" w:rsidRDefault="00173106" w:rsidP="00B5196E">
            <w:r>
              <w:t>04/10/2017</w:t>
            </w:r>
          </w:p>
        </w:tc>
        <w:tc>
          <w:tcPr>
            <w:tcW w:w="2250" w:type="dxa"/>
          </w:tcPr>
          <w:p w:rsidR="00B532FB" w:rsidRDefault="00173106" w:rsidP="000C6F62">
            <w:r>
              <w:t>Department of Labor’s “Fiduciary” definition</w:t>
            </w:r>
          </w:p>
        </w:tc>
        <w:tc>
          <w:tcPr>
            <w:tcW w:w="1440" w:type="dxa"/>
          </w:tcPr>
          <w:p w:rsidR="00B532FB" w:rsidRDefault="00173106" w:rsidP="006E10DB">
            <w:pPr>
              <w:spacing w:after="120"/>
            </w:pPr>
            <w:hyperlink r:id="rId9" w:history="1">
              <w:r w:rsidRPr="00173106">
                <w:rPr>
                  <w:rStyle w:val="Hyperlink"/>
                </w:rPr>
                <w:t>81 FR 20945</w:t>
              </w:r>
            </w:hyperlink>
          </w:p>
        </w:tc>
        <w:tc>
          <w:tcPr>
            <w:tcW w:w="8208" w:type="dxa"/>
          </w:tcPr>
          <w:p w:rsidR="00274CDA" w:rsidRDefault="00173106" w:rsidP="00173106">
            <w:r w:rsidRPr="00173106">
              <w:t xml:space="preserve">The rule expands the definition of a “fiduciary” as a person who receives compensation for providing advice based on the particular needs of the person </w:t>
            </w:r>
            <w:proofErr w:type="gramStart"/>
            <w:r w:rsidRPr="00173106">
              <w:t>being advised</w:t>
            </w:r>
            <w:proofErr w:type="gramEnd"/>
            <w:r w:rsidRPr="00173106">
              <w:t xml:space="preserve"> or if he or she directs that person to a specific plan sponsor, plan participant, or individual retirement account (IRA) owner</w:t>
            </w:r>
            <w:r>
              <w:t>.</w:t>
            </w:r>
            <w:r w:rsidR="00B01B28">
              <w:t xml:space="preserve">  The final rule differentiates “education” and “advice.”  </w:t>
            </w:r>
          </w:p>
          <w:p w:rsidR="00B532FB" w:rsidRDefault="00274CDA" w:rsidP="00173106">
            <w:r>
              <w:t xml:space="preserve">“Education” </w:t>
            </w:r>
            <w:proofErr w:type="gramStart"/>
            <w:r>
              <w:t>is carved out</w:t>
            </w:r>
            <w:proofErr w:type="gramEnd"/>
            <w:r>
              <w:t xml:space="preserve"> in four categories of non-fiduciary education information and materials:  (1) plan information, (2) general financial, investment, and retirement information, (3) asset allocation models, and (4) interactive investment materials.  “Advice” is any individual receiving compensation for making investment recommendations that are individualized or specifically directed to </w:t>
            </w:r>
            <w:proofErr w:type="gramStart"/>
            <w:r>
              <w:t>a</w:t>
            </w:r>
            <w:proofErr w:type="gramEnd"/>
            <w:r>
              <w:t xml:space="preserve"> IRA owner for consideration in making a retirement investment decision.  </w:t>
            </w:r>
            <w:r w:rsidR="00B01B28">
              <w:t xml:space="preserve">References to specific investment alternatives </w:t>
            </w:r>
            <w:proofErr w:type="gramStart"/>
            <w:r w:rsidR="00B01B28">
              <w:t>are not considered</w:t>
            </w:r>
            <w:proofErr w:type="gramEnd"/>
            <w:r w:rsidR="00B01B28">
              <w:t xml:space="preserve"> as “education” and thus, recommendations about rollovers would be considered investment advice.  </w:t>
            </w:r>
            <w:r>
              <w:t xml:space="preserve">Education = </w:t>
            </w:r>
            <w:r>
              <w:sym w:font="Wingdings" w:char="F04A"/>
            </w:r>
            <w:r>
              <w:t xml:space="preserve"> Advice </w:t>
            </w:r>
            <w:proofErr w:type="gramStart"/>
            <w:r>
              <w:t xml:space="preserve">= </w:t>
            </w:r>
            <w:proofErr w:type="gramEnd"/>
            <w:r>
              <w:sym w:font="Wingdings" w:char="F04C"/>
            </w:r>
            <w:r w:rsidR="00453DA0">
              <w:t>.</w:t>
            </w:r>
          </w:p>
        </w:tc>
      </w:tr>
      <w:tr w:rsidR="007A4A48" w:rsidRPr="00967605" w:rsidTr="00AC6A22">
        <w:tc>
          <w:tcPr>
            <w:tcW w:w="1278" w:type="dxa"/>
          </w:tcPr>
          <w:p w:rsidR="007A4A48" w:rsidRDefault="007A4A48" w:rsidP="00B5196E">
            <w:r>
              <w:t>01/01/2017</w:t>
            </w:r>
          </w:p>
        </w:tc>
        <w:tc>
          <w:tcPr>
            <w:tcW w:w="2250" w:type="dxa"/>
          </w:tcPr>
          <w:p w:rsidR="007A4A48" w:rsidRDefault="007A4A48" w:rsidP="000C6F62">
            <w:r>
              <w:t>WA Uniform Power of Attorney Act</w:t>
            </w:r>
          </w:p>
        </w:tc>
        <w:tc>
          <w:tcPr>
            <w:tcW w:w="1440" w:type="dxa"/>
          </w:tcPr>
          <w:p w:rsidR="007A4A48" w:rsidRDefault="007A4A48" w:rsidP="006E10DB">
            <w:pPr>
              <w:spacing w:after="120"/>
            </w:pPr>
            <w:r>
              <w:t>SB 5635</w:t>
            </w:r>
          </w:p>
        </w:tc>
        <w:tc>
          <w:tcPr>
            <w:tcW w:w="8208" w:type="dxa"/>
          </w:tcPr>
          <w:p w:rsidR="007A4A48" w:rsidRPr="00173106" w:rsidRDefault="007A4A48" w:rsidP="007A4A48">
            <w:r>
              <w:t xml:space="preserve">Washington’s Power of Attorney Act </w:t>
            </w:r>
            <w:proofErr w:type="gramStart"/>
            <w:r>
              <w:t>is repealed and replaced with a modified version of the Uniform Power of Attorney Act</w:t>
            </w:r>
            <w:proofErr w:type="gramEnd"/>
            <w:r>
              <w:t xml:space="preserve">.  </w:t>
            </w:r>
          </w:p>
        </w:tc>
      </w:tr>
    </w:tbl>
    <w:p w:rsidR="003B2BCF" w:rsidRDefault="00DC082C" w:rsidP="007B2E65">
      <w:pPr>
        <w:spacing w:before="240" w:after="0"/>
        <w:rPr>
          <w:b/>
          <w:sz w:val="28"/>
          <w:szCs w:val="28"/>
        </w:rPr>
      </w:pPr>
      <w:r>
        <w:rPr>
          <w:b/>
          <w:sz w:val="28"/>
          <w:szCs w:val="28"/>
        </w:rPr>
        <w:t>PROPOSED REGULATIONS</w:t>
      </w:r>
    </w:p>
    <w:tbl>
      <w:tblPr>
        <w:tblStyle w:val="TableGrid"/>
        <w:tblW w:w="13176" w:type="dxa"/>
        <w:tblLook w:val="04A0" w:firstRow="1" w:lastRow="0" w:firstColumn="1" w:lastColumn="0" w:noHBand="0" w:noVBand="1"/>
      </w:tblPr>
      <w:tblGrid>
        <w:gridCol w:w="1278"/>
        <w:gridCol w:w="2282"/>
        <w:gridCol w:w="1411"/>
        <w:gridCol w:w="8205"/>
      </w:tblGrid>
      <w:tr w:rsidR="00DC082C" w:rsidTr="001570E9">
        <w:tc>
          <w:tcPr>
            <w:tcW w:w="1278" w:type="dxa"/>
            <w:tcBorders>
              <w:top w:val="nil"/>
              <w:left w:val="nil"/>
              <w:right w:val="nil"/>
            </w:tcBorders>
          </w:tcPr>
          <w:p w:rsidR="00DC082C" w:rsidRDefault="00DC082C" w:rsidP="001570E9">
            <w:pPr>
              <w:rPr>
                <w:b/>
              </w:rPr>
            </w:pPr>
            <w:r>
              <w:rPr>
                <w:b/>
              </w:rPr>
              <w:t>Comments Due</w:t>
            </w:r>
          </w:p>
        </w:tc>
        <w:tc>
          <w:tcPr>
            <w:tcW w:w="2282" w:type="dxa"/>
            <w:tcBorders>
              <w:top w:val="nil"/>
              <w:left w:val="nil"/>
              <w:right w:val="nil"/>
            </w:tcBorders>
          </w:tcPr>
          <w:p w:rsidR="00DC082C" w:rsidRDefault="00DC082C" w:rsidP="001570E9">
            <w:pPr>
              <w:rPr>
                <w:b/>
              </w:rPr>
            </w:pPr>
            <w:r>
              <w:rPr>
                <w:b/>
              </w:rPr>
              <w:t>Regulation</w:t>
            </w:r>
          </w:p>
        </w:tc>
        <w:tc>
          <w:tcPr>
            <w:tcW w:w="1411" w:type="dxa"/>
            <w:tcBorders>
              <w:top w:val="nil"/>
              <w:left w:val="nil"/>
              <w:right w:val="nil"/>
            </w:tcBorders>
          </w:tcPr>
          <w:p w:rsidR="00DC082C" w:rsidRDefault="00DC082C" w:rsidP="001570E9">
            <w:pPr>
              <w:rPr>
                <w:b/>
              </w:rPr>
            </w:pPr>
            <w:r>
              <w:rPr>
                <w:b/>
              </w:rPr>
              <w:t>Citation</w:t>
            </w:r>
          </w:p>
        </w:tc>
        <w:tc>
          <w:tcPr>
            <w:tcW w:w="8205" w:type="dxa"/>
            <w:tcBorders>
              <w:top w:val="nil"/>
              <w:left w:val="nil"/>
              <w:right w:val="nil"/>
            </w:tcBorders>
          </w:tcPr>
          <w:p w:rsidR="00DC082C" w:rsidRDefault="00DC082C" w:rsidP="001570E9">
            <w:pPr>
              <w:rPr>
                <w:b/>
              </w:rPr>
            </w:pPr>
            <w:r>
              <w:rPr>
                <w:b/>
              </w:rPr>
              <w:t>Summary</w:t>
            </w:r>
          </w:p>
        </w:tc>
      </w:tr>
      <w:tr w:rsidR="00DC082C" w:rsidRPr="00967605" w:rsidTr="001570E9">
        <w:tc>
          <w:tcPr>
            <w:tcW w:w="1278" w:type="dxa"/>
          </w:tcPr>
          <w:p w:rsidR="00DC082C" w:rsidRPr="000E1F7A" w:rsidRDefault="00C950B3" w:rsidP="001570E9">
            <w:r>
              <w:t>06/27/2016</w:t>
            </w:r>
          </w:p>
        </w:tc>
        <w:tc>
          <w:tcPr>
            <w:tcW w:w="2282" w:type="dxa"/>
          </w:tcPr>
          <w:p w:rsidR="00DC082C" w:rsidRPr="000E1F7A" w:rsidRDefault="00E13DD7" w:rsidP="001570E9">
            <w:hyperlink r:id="rId10" w:history="1">
              <w:r w:rsidR="00C950B3" w:rsidRPr="00C950B3">
                <w:rPr>
                  <w:rStyle w:val="Hyperlink"/>
                </w:rPr>
                <w:t xml:space="preserve">Federal Credit Union </w:t>
              </w:r>
              <w:r w:rsidR="00C950B3" w:rsidRPr="00C950B3">
                <w:rPr>
                  <w:rStyle w:val="Hyperlink"/>
                </w:rPr>
                <w:lastRenderedPageBreak/>
                <w:t>Fixed Assets Proposal</w:t>
              </w:r>
            </w:hyperlink>
          </w:p>
        </w:tc>
        <w:tc>
          <w:tcPr>
            <w:tcW w:w="1411" w:type="dxa"/>
          </w:tcPr>
          <w:p w:rsidR="00DC082C" w:rsidRPr="000E1F7A" w:rsidRDefault="00E13DD7" w:rsidP="001570E9">
            <w:hyperlink r:id="rId11" w:history="1">
              <w:r w:rsidR="00C950B3" w:rsidRPr="00C950B3">
                <w:rPr>
                  <w:rStyle w:val="Hyperlink"/>
                </w:rPr>
                <w:t>81 FR 24738</w:t>
              </w:r>
            </w:hyperlink>
          </w:p>
        </w:tc>
        <w:tc>
          <w:tcPr>
            <w:tcW w:w="8205" w:type="dxa"/>
          </w:tcPr>
          <w:p w:rsidR="00DC082C" w:rsidRPr="00C950B3" w:rsidRDefault="00C950B3" w:rsidP="001570E9">
            <w:pPr>
              <w:pStyle w:val="NormalWeb"/>
              <w:spacing w:before="0" w:beforeAutospacing="0" w:after="0" w:afterAutospacing="0"/>
              <w:rPr>
                <w:rFonts w:asciiTheme="minorHAnsi" w:eastAsiaTheme="minorEastAsia" w:hAnsiTheme="minorHAnsi" w:cstheme="minorBidi"/>
                <w:sz w:val="22"/>
                <w:szCs w:val="22"/>
              </w:rPr>
            </w:pPr>
            <w:r w:rsidRPr="00C950B3">
              <w:rPr>
                <w:rFonts w:asciiTheme="minorHAnsi" w:hAnsiTheme="minorHAnsi" w:cs="Arial"/>
                <w:sz w:val="22"/>
                <w:szCs w:val="22"/>
                <w:shd w:val="clear" w:color="auto" w:fill="FFFFFF"/>
              </w:rPr>
              <w:t xml:space="preserve">The NCUA proposed an amendment to the fixed-assets regulation that eliminates the </w:t>
            </w:r>
            <w:r w:rsidRPr="00C950B3">
              <w:rPr>
                <w:rFonts w:asciiTheme="minorHAnsi" w:hAnsiTheme="minorHAnsi" w:cs="Arial"/>
                <w:sz w:val="22"/>
                <w:szCs w:val="22"/>
                <w:shd w:val="clear" w:color="auto" w:fill="FFFFFF"/>
              </w:rPr>
              <w:lastRenderedPageBreak/>
              <w:t>requirement that a federal credit union must plan for, and eventually achieve full occupancy of acquired premises.  If passed, the credit union must partially occupy (at least 50% by the federal credit union or the federal credit union and a CUSO) within a reasonable period, but no later than six years after acquisition.</w:t>
            </w:r>
            <w:r w:rsidR="007E5A30">
              <w:rPr>
                <w:rFonts w:asciiTheme="minorHAnsi" w:hAnsiTheme="minorHAnsi" w:cs="Arial"/>
                <w:sz w:val="22"/>
                <w:szCs w:val="22"/>
                <w:shd w:val="clear" w:color="auto" w:fill="FFFFFF"/>
              </w:rPr>
              <w:t xml:space="preserve">  (See pages 5-6 for current Washington and Oregon Fixed Assets Rules.)</w:t>
            </w:r>
          </w:p>
        </w:tc>
      </w:tr>
      <w:tr w:rsidR="00C950B3" w:rsidRPr="00967605" w:rsidTr="001570E9">
        <w:tc>
          <w:tcPr>
            <w:tcW w:w="1278" w:type="dxa"/>
          </w:tcPr>
          <w:p w:rsidR="00C950B3" w:rsidRDefault="00C950B3" w:rsidP="001570E9">
            <w:r>
              <w:lastRenderedPageBreak/>
              <w:t>06/22/2016</w:t>
            </w:r>
          </w:p>
        </w:tc>
        <w:tc>
          <w:tcPr>
            <w:tcW w:w="2282" w:type="dxa"/>
          </w:tcPr>
          <w:p w:rsidR="00C950B3" w:rsidRDefault="00E13DD7" w:rsidP="001570E9">
            <w:hyperlink r:id="rId12" w:history="1">
              <w:r w:rsidR="00C950B3" w:rsidRPr="00B819BC">
                <w:rPr>
                  <w:rStyle w:val="Hyperlink"/>
                </w:rPr>
                <w:t>Proposed Incentive-Based Compensation Arrangements</w:t>
              </w:r>
            </w:hyperlink>
          </w:p>
        </w:tc>
        <w:tc>
          <w:tcPr>
            <w:tcW w:w="1411" w:type="dxa"/>
          </w:tcPr>
          <w:p w:rsidR="00C950B3" w:rsidRDefault="00C950B3" w:rsidP="001570E9"/>
        </w:tc>
        <w:tc>
          <w:tcPr>
            <w:tcW w:w="8205" w:type="dxa"/>
          </w:tcPr>
          <w:p w:rsidR="00C950B3" w:rsidRPr="00C950B3" w:rsidRDefault="00C950B3" w:rsidP="00C950B3">
            <w:pPr>
              <w:pStyle w:val="NormalWeb"/>
              <w:spacing w:before="0" w:beforeAutospacing="0" w:after="0" w:afterAutospacing="0"/>
              <w:rPr>
                <w:rFonts w:asciiTheme="minorHAnsi" w:hAnsiTheme="minorHAnsi" w:cs="Arial"/>
                <w:sz w:val="22"/>
                <w:szCs w:val="22"/>
                <w:shd w:val="clear" w:color="auto" w:fill="FFFFFF"/>
              </w:rPr>
            </w:pPr>
            <w:r w:rsidRPr="00C950B3">
              <w:rPr>
                <w:rFonts w:asciiTheme="minorHAnsi" w:hAnsiTheme="minorHAnsi" w:cs="Arial"/>
                <w:sz w:val="22"/>
                <w:szCs w:val="22"/>
                <w:shd w:val="clear" w:color="auto" w:fill="FFFFFF"/>
              </w:rPr>
              <w:t>The</w:t>
            </w:r>
            <w:bookmarkStart w:id="0" w:name="_GoBack"/>
            <w:bookmarkEnd w:id="0"/>
            <w:r w:rsidRPr="00C950B3">
              <w:rPr>
                <w:rFonts w:asciiTheme="minorHAnsi" w:hAnsiTheme="minorHAnsi" w:cs="Arial"/>
                <w:sz w:val="22"/>
                <w:szCs w:val="22"/>
                <w:shd w:val="clear" w:color="auto" w:fill="FFFFFF"/>
              </w:rPr>
              <w:t xml:space="preserve"> credit must not establish or maintain any type of incentive-based compensation arrangement that encourages inappropriate risks by the credit union by providing a covered person with excessive compensation, fees, or benefits; or that could lead to material financial loss to the credit union.</w:t>
            </w:r>
          </w:p>
          <w:p w:rsidR="00C950B3" w:rsidRPr="00C950B3" w:rsidRDefault="00C950B3" w:rsidP="00C950B3">
            <w:pPr>
              <w:pStyle w:val="NormalWeb"/>
              <w:spacing w:before="0" w:beforeAutospacing="0" w:after="0" w:afterAutospacing="0"/>
              <w:rPr>
                <w:rFonts w:asciiTheme="minorHAnsi" w:hAnsiTheme="minorHAnsi" w:cs="Arial"/>
                <w:sz w:val="22"/>
                <w:szCs w:val="22"/>
                <w:shd w:val="clear" w:color="auto" w:fill="FFFFFF"/>
              </w:rPr>
            </w:pPr>
            <w:r w:rsidRPr="00C950B3">
              <w:rPr>
                <w:rFonts w:asciiTheme="minorHAnsi" w:hAnsiTheme="minorHAnsi" w:cs="Arial"/>
                <w:sz w:val="22"/>
                <w:szCs w:val="22"/>
                <w:shd w:val="clear" w:color="auto" w:fill="FFFFFF"/>
              </w:rPr>
              <w:t>The credit union’s board of directors, or a committee thereof, must conduct oversight of the incentive-based compensation program, approve incentive-based compensation arrangement for senior executive officers, and approve any material exceptions or adjustments to incentive-based compensation policies or arrangements for senior executive officers.</w:t>
            </w:r>
          </w:p>
          <w:p w:rsidR="00C950B3" w:rsidRPr="00C950B3" w:rsidRDefault="00C950B3" w:rsidP="00C950B3">
            <w:pPr>
              <w:pStyle w:val="NormalWeb"/>
              <w:spacing w:before="0" w:beforeAutospacing="0" w:after="0" w:afterAutospacing="0"/>
              <w:rPr>
                <w:rFonts w:asciiTheme="minorHAnsi" w:hAnsiTheme="minorHAnsi" w:cs="Arial"/>
                <w:color w:val="4F4F52"/>
                <w:sz w:val="22"/>
                <w:szCs w:val="22"/>
                <w:shd w:val="clear" w:color="auto" w:fill="FFFFFF"/>
              </w:rPr>
            </w:pPr>
            <w:r w:rsidRPr="00C950B3">
              <w:rPr>
                <w:rFonts w:asciiTheme="minorHAnsi" w:hAnsiTheme="minorHAnsi" w:cs="Arial"/>
                <w:sz w:val="22"/>
                <w:szCs w:val="22"/>
                <w:shd w:val="clear" w:color="auto" w:fill="FFFFFF"/>
              </w:rPr>
              <w:t>The credit union must annually create, and maintain for seven years, records that document the structure of all its incentive-based compensation arrangements, and disclose the records to the NCUA upon request.  The records, at a minimum, must include copies of all incentive-based compensation plans, a record of who is subject to each plan, and a description of how the incentive-based compensation program is compatible with effective risk management and controls.  The credit union does not have to report the actual amount of compensation, fees, or benefits to the NCUA.</w:t>
            </w:r>
          </w:p>
        </w:tc>
      </w:tr>
      <w:tr w:rsidR="007761FF" w:rsidRPr="00967605" w:rsidTr="001570E9">
        <w:tc>
          <w:tcPr>
            <w:tcW w:w="1278" w:type="dxa"/>
          </w:tcPr>
          <w:p w:rsidR="007761FF" w:rsidRDefault="007761FF" w:rsidP="001570E9"/>
        </w:tc>
        <w:tc>
          <w:tcPr>
            <w:tcW w:w="2282" w:type="dxa"/>
          </w:tcPr>
          <w:p w:rsidR="007761FF" w:rsidRDefault="007761FF" w:rsidP="001570E9"/>
        </w:tc>
        <w:tc>
          <w:tcPr>
            <w:tcW w:w="1411" w:type="dxa"/>
          </w:tcPr>
          <w:p w:rsidR="007761FF" w:rsidRDefault="007761FF" w:rsidP="001570E9"/>
        </w:tc>
        <w:tc>
          <w:tcPr>
            <w:tcW w:w="8205" w:type="dxa"/>
          </w:tcPr>
          <w:p w:rsidR="007761FF" w:rsidRPr="00C950B3" w:rsidRDefault="007761FF" w:rsidP="00C950B3">
            <w:pPr>
              <w:pStyle w:val="NormalWeb"/>
              <w:spacing w:before="0" w:beforeAutospacing="0" w:after="0" w:afterAutospacing="0"/>
              <w:rPr>
                <w:rFonts w:asciiTheme="minorHAnsi" w:hAnsiTheme="minorHAnsi" w:cs="Arial"/>
                <w:sz w:val="22"/>
                <w:szCs w:val="22"/>
                <w:shd w:val="clear" w:color="auto" w:fill="FFFFFF"/>
              </w:rPr>
            </w:pPr>
          </w:p>
        </w:tc>
      </w:tr>
    </w:tbl>
    <w:p w:rsidR="000C6F62" w:rsidRDefault="000C6F62" w:rsidP="000C6F62">
      <w:pPr>
        <w:spacing w:before="240" w:after="0"/>
        <w:rPr>
          <w:b/>
          <w:sz w:val="28"/>
          <w:szCs w:val="28"/>
        </w:rPr>
      </w:pPr>
      <w:r>
        <w:rPr>
          <w:b/>
          <w:sz w:val="28"/>
          <w:szCs w:val="28"/>
        </w:rPr>
        <w:t>RESOURCES</w:t>
      </w:r>
      <w:r w:rsidR="008756E8">
        <w:rPr>
          <w:b/>
          <w:sz w:val="28"/>
          <w:szCs w:val="28"/>
        </w:rPr>
        <w:t>/GUIDANCE</w:t>
      </w:r>
    </w:p>
    <w:tbl>
      <w:tblPr>
        <w:tblStyle w:val="TableGrid"/>
        <w:tblW w:w="13158" w:type="dxa"/>
        <w:tblLook w:val="04A0" w:firstRow="1" w:lastRow="0" w:firstColumn="1" w:lastColumn="0" w:noHBand="0" w:noVBand="1"/>
      </w:tblPr>
      <w:tblGrid>
        <w:gridCol w:w="2283"/>
        <w:gridCol w:w="10875"/>
      </w:tblGrid>
      <w:tr w:rsidR="000C6F62" w:rsidTr="000C6F62">
        <w:tc>
          <w:tcPr>
            <w:tcW w:w="2283" w:type="dxa"/>
            <w:tcBorders>
              <w:top w:val="nil"/>
              <w:left w:val="nil"/>
              <w:right w:val="nil"/>
            </w:tcBorders>
          </w:tcPr>
          <w:p w:rsidR="000C6F62" w:rsidRDefault="000C6F62" w:rsidP="00A37101">
            <w:pPr>
              <w:rPr>
                <w:b/>
              </w:rPr>
            </w:pPr>
            <w:r>
              <w:rPr>
                <w:b/>
              </w:rPr>
              <w:t>Guidance</w:t>
            </w:r>
          </w:p>
        </w:tc>
        <w:tc>
          <w:tcPr>
            <w:tcW w:w="10875" w:type="dxa"/>
            <w:tcBorders>
              <w:top w:val="nil"/>
              <w:left w:val="nil"/>
              <w:right w:val="nil"/>
            </w:tcBorders>
          </w:tcPr>
          <w:p w:rsidR="000C6F62" w:rsidRDefault="000C6F62" w:rsidP="00A37101">
            <w:pPr>
              <w:rPr>
                <w:b/>
              </w:rPr>
            </w:pPr>
            <w:r>
              <w:rPr>
                <w:b/>
              </w:rPr>
              <w:t>Summary</w:t>
            </w:r>
          </w:p>
        </w:tc>
      </w:tr>
      <w:tr w:rsidR="00B355D2" w:rsidRPr="00967605" w:rsidTr="000C6F62">
        <w:tc>
          <w:tcPr>
            <w:tcW w:w="2283" w:type="dxa"/>
          </w:tcPr>
          <w:p w:rsidR="00B355D2" w:rsidRDefault="00E13DD7" w:rsidP="00A37101">
            <w:hyperlink r:id="rId13" w:history="1">
              <w:r w:rsidR="00B355D2" w:rsidRPr="00B355D2">
                <w:rPr>
                  <w:rStyle w:val="Hyperlink"/>
                </w:rPr>
                <w:t>Mobile Financial Services</w:t>
              </w:r>
            </w:hyperlink>
          </w:p>
        </w:tc>
        <w:tc>
          <w:tcPr>
            <w:tcW w:w="10875" w:type="dxa"/>
          </w:tcPr>
          <w:p w:rsidR="00B355D2" w:rsidRPr="00B819BC" w:rsidRDefault="00B355D2" w:rsidP="00B355D2">
            <w:pPr>
              <w:pStyle w:val="NormalWeb"/>
              <w:spacing w:after="0"/>
              <w:rPr>
                <w:rFonts w:asciiTheme="minorHAnsi" w:hAnsiTheme="minorHAnsi" w:cs="Arial"/>
                <w:color w:val="4F4F52"/>
                <w:sz w:val="22"/>
                <w:szCs w:val="22"/>
                <w:shd w:val="clear" w:color="auto" w:fill="FFFFFF"/>
              </w:rPr>
            </w:pPr>
            <w:r w:rsidRPr="00B355D2">
              <w:rPr>
                <w:rFonts w:asciiTheme="minorHAnsi" w:hAnsiTheme="minorHAnsi" w:cs="Arial"/>
                <w:sz w:val="22"/>
                <w:szCs w:val="22"/>
                <w:shd w:val="clear" w:color="auto" w:fill="FFFFFF"/>
              </w:rPr>
              <w:t xml:space="preserve">The FFIEC has issued a new appendix, Mobile Financial Services, to the Retail Payment Systems booklet of the FFIEC Information Technology Handbook. The appendix provides guidance to assist examiners in evaluating the risks associated with mobile financial services.  </w:t>
            </w:r>
            <w:proofErr w:type="gramStart"/>
            <w:r w:rsidRPr="00B355D2">
              <w:rPr>
                <w:rFonts w:asciiTheme="minorHAnsi" w:hAnsiTheme="minorHAnsi" w:cs="Arial"/>
                <w:sz w:val="22"/>
                <w:szCs w:val="22"/>
                <w:shd w:val="clear" w:color="auto" w:fill="FFFFFF"/>
              </w:rPr>
              <w:t xml:space="preserve">The appendix:  emphasizes an enterprise-wide risk management approach for effectively managing and mitigating the risks associated with mobile financial services, discusses the technologies used in the mobile delivery channel, elevated risks that may result, and appropriate controls implemented by institutions or third-party providers, and contains a work program to assist examiners in determining the risks posed by an institution's mobile financial services and assessing the controls that have been implemented to mitigate those </w:t>
            </w:r>
            <w:r w:rsidRPr="00B355D2">
              <w:rPr>
                <w:rFonts w:asciiTheme="minorHAnsi" w:hAnsiTheme="minorHAnsi" w:cs="Arial"/>
                <w:sz w:val="22"/>
                <w:szCs w:val="22"/>
                <w:shd w:val="clear" w:color="auto" w:fill="FFFFFF"/>
              </w:rPr>
              <w:lastRenderedPageBreak/>
              <w:t>risks</w:t>
            </w:r>
            <w:r>
              <w:rPr>
                <w:rFonts w:asciiTheme="minorHAnsi" w:hAnsiTheme="minorHAnsi" w:cs="Arial"/>
                <w:sz w:val="22"/>
                <w:szCs w:val="22"/>
                <w:shd w:val="clear" w:color="auto" w:fill="FFFFFF"/>
              </w:rPr>
              <w:t>.</w:t>
            </w:r>
            <w:proofErr w:type="gramEnd"/>
          </w:p>
        </w:tc>
      </w:tr>
      <w:tr w:rsidR="003B2BCF" w:rsidRPr="00967605" w:rsidTr="000C6F62">
        <w:tc>
          <w:tcPr>
            <w:tcW w:w="2283" w:type="dxa"/>
          </w:tcPr>
          <w:p w:rsidR="003B2BCF" w:rsidRDefault="00E13DD7" w:rsidP="00A37101">
            <w:hyperlink r:id="rId14" w:history="1">
              <w:r w:rsidR="00B819BC" w:rsidRPr="007761FF">
                <w:rPr>
                  <w:rStyle w:val="Hyperlink"/>
                </w:rPr>
                <w:t>Serving the Credit-Invisible</w:t>
              </w:r>
            </w:hyperlink>
          </w:p>
        </w:tc>
        <w:tc>
          <w:tcPr>
            <w:tcW w:w="10875" w:type="dxa"/>
          </w:tcPr>
          <w:p w:rsidR="003B2BCF" w:rsidRPr="00B819BC" w:rsidRDefault="00B819BC" w:rsidP="00C012BB">
            <w:pPr>
              <w:pStyle w:val="NormalWeb"/>
              <w:spacing w:after="0"/>
              <w:rPr>
                <w:rFonts w:asciiTheme="minorHAnsi" w:eastAsiaTheme="minorEastAsia" w:hAnsiTheme="minorHAnsi" w:cstheme="minorBidi"/>
                <w:b/>
                <w:sz w:val="22"/>
                <w:szCs w:val="22"/>
              </w:rPr>
            </w:pPr>
            <w:r w:rsidRPr="00B819BC">
              <w:rPr>
                <w:rFonts w:asciiTheme="minorHAnsi" w:hAnsiTheme="minorHAnsi" w:cs="Arial"/>
                <w:color w:val="4F4F52"/>
                <w:sz w:val="22"/>
                <w:szCs w:val="22"/>
                <w:shd w:val="clear" w:color="auto" w:fill="FFFFFF"/>
              </w:rPr>
              <w:t>“</w:t>
            </w:r>
            <w:hyperlink r:id="rId15" w:tgtFrame="_blank" w:history="1">
              <w:r w:rsidRPr="00B819BC">
                <w:rPr>
                  <w:rStyle w:val="Hyperlink"/>
                  <w:rFonts w:asciiTheme="minorHAnsi" w:hAnsiTheme="minorHAnsi" w:cs="Arial"/>
                  <w:color w:val="4A8EAE"/>
                  <w:sz w:val="22"/>
                  <w:szCs w:val="22"/>
                  <w:shd w:val="clear" w:color="auto" w:fill="FFFFFF"/>
                </w:rPr>
                <w:t>Serving the Credit-Invisible</w:t>
              </w:r>
            </w:hyperlink>
            <w:r w:rsidRPr="00B819BC">
              <w:rPr>
                <w:rFonts w:asciiTheme="minorHAnsi" w:hAnsiTheme="minorHAnsi" w:cs="Arial"/>
                <w:color w:val="4F4F52"/>
                <w:sz w:val="22"/>
                <w:szCs w:val="22"/>
                <w:shd w:val="clear" w:color="auto" w:fill="FFFFFF"/>
              </w:rPr>
              <w:t xml:space="preserve">,” </w:t>
            </w:r>
            <w:r w:rsidRPr="007761FF">
              <w:rPr>
                <w:rFonts w:asciiTheme="minorHAnsi" w:hAnsiTheme="minorHAnsi" w:cs="Arial"/>
                <w:sz w:val="22"/>
                <w:szCs w:val="22"/>
                <w:shd w:val="clear" w:color="auto" w:fill="FFFFFF"/>
              </w:rPr>
              <w:t>a new report posted by the NCUA, explains how credit unions can build loan programs based on sound underwriting, appropriate risk management, loan monitoring and staff training that can help them reach this underserved population. The report details how to evaluate a loan applicant who is “credit-invisible” and describes best practices for serving those members within the normal boundaries of safety and soundness. Credit-invisible consumers may lack credit scores because they have limited or incomplete credit histories.</w:t>
            </w:r>
          </w:p>
        </w:tc>
      </w:tr>
      <w:tr w:rsidR="000C6F62" w:rsidRPr="00967605" w:rsidTr="000C6F62">
        <w:tc>
          <w:tcPr>
            <w:tcW w:w="2283" w:type="dxa"/>
          </w:tcPr>
          <w:p w:rsidR="000C6F62" w:rsidRPr="000E1F7A" w:rsidRDefault="00E13DD7" w:rsidP="00A37101">
            <w:hyperlink r:id="rId16" w:history="1">
              <w:r w:rsidR="007761FF" w:rsidRPr="007761FF">
                <w:rPr>
                  <w:rStyle w:val="Hyperlink"/>
                </w:rPr>
                <w:t>FDIC Supervisory Insights</w:t>
              </w:r>
            </w:hyperlink>
          </w:p>
        </w:tc>
        <w:tc>
          <w:tcPr>
            <w:tcW w:w="10875" w:type="dxa"/>
          </w:tcPr>
          <w:p w:rsidR="000C6F62" w:rsidRPr="007761FF" w:rsidRDefault="007761FF" w:rsidP="00C012BB">
            <w:pPr>
              <w:pStyle w:val="NormalWeb"/>
              <w:spacing w:after="0"/>
              <w:rPr>
                <w:rFonts w:asciiTheme="minorHAnsi" w:hAnsiTheme="minorHAnsi"/>
                <w:sz w:val="22"/>
                <w:szCs w:val="22"/>
                <w:lang w:val="en-CA"/>
              </w:rPr>
            </w:pPr>
            <w:r w:rsidRPr="007761FF">
              <w:rPr>
                <w:rFonts w:asciiTheme="minorHAnsi" w:hAnsiTheme="minorHAnsi" w:cs="Arial"/>
                <w:sz w:val="22"/>
                <w:szCs w:val="22"/>
                <w:shd w:val="clear" w:color="auto" w:fill="FFFFFF"/>
              </w:rPr>
              <w:t>April’s edition of the FDIC’s</w:t>
            </w:r>
            <w:r w:rsidRPr="007761FF">
              <w:rPr>
                <w:rStyle w:val="apple-converted-space"/>
                <w:rFonts w:asciiTheme="minorHAnsi" w:hAnsiTheme="minorHAnsi" w:cs="Arial"/>
                <w:sz w:val="22"/>
                <w:szCs w:val="22"/>
                <w:shd w:val="clear" w:color="auto" w:fill="FFFFFF"/>
              </w:rPr>
              <w:t> </w:t>
            </w:r>
            <w:hyperlink r:id="rId17" w:tgtFrame="_blank" w:history="1">
              <w:r w:rsidRPr="007761FF">
                <w:rPr>
                  <w:rStyle w:val="Hyperlink"/>
                  <w:rFonts w:asciiTheme="minorHAnsi" w:hAnsiTheme="minorHAnsi" w:cs="Arial"/>
                  <w:color w:val="4A8EAE"/>
                  <w:sz w:val="22"/>
                  <w:szCs w:val="22"/>
                  <w:u w:val="none"/>
                  <w:shd w:val="clear" w:color="auto" w:fill="FFFFFF"/>
                </w:rPr>
                <w:t>Supervisory Insights</w:t>
              </w:r>
            </w:hyperlink>
            <w:r w:rsidRPr="007761FF">
              <w:rPr>
                <w:rStyle w:val="apple-converted-space"/>
                <w:rFonts w:asciiTheme="minorHAnsi" w:hAnsiTheme="minorHAnsi" w:cs="Arial"/>
                <w:color w:val="4F4F52"/>
                <w:sz w:val="22"/>
                <w:szCs w:val="22"/>
                <w:shd w:val="clear" w:color="auto" w:fill="FFFFFF"/>
              </w:rPr>
              <w:t> </w:t>
            </w:r>
            <w:r w:rsidRPr="007761FF">
              <w:rPr>
                <w:rFonts w:asciiTheme="minorHAnsi" w:hAnsiTheme="minorHAnsi" w:cs="Arial"/>
                <w:sz w:val="22"/>
                <w:szCs w:val="22"/>
                <w:shd w:val="clear" w:color="auto" w:fill="FFFFFF"/>
              </w:rPr>
              <w:t>provides common-sense principles that describe the responsibilities and duties of a bank’s board of directors – a framework for corporate governance that applies to any financial institution.  It is a good resource for understanding the duties of the board.</w:t>
            </w:r>
          </w:p>
        </w:tc>
      </w:tr>
      <w:tr w:rsidR="00F76BD4" w:rsidRPr="00967605" w:rsidTr="000C6F62">
        <w:tc>
          <w:tcPr>
            <w:tcW w:w="2283" w:type="dxa"/>
          </w:tcPr>
          <w:p w:rsidR="00F76BD4" w:rsidRDefault="00E13DD7" w:rsidP="00A37101">
            <w:hyperlink r:id="rId18" w:history="1">
              <w:r w:rsidR="007761FF" w:rsidRPr="007761FF">
                <w:rPr>
                  <w:rStyle w:val="Hyperlink"/>
                </w:rPr>
                <w:t>DCU Bulletin B-16-04</w:t>
              </w:r>
            </w:hyperlink>
          </w:p>
        </w:tc>
        <w:tc>
          <w:tcPr>
            <w:tcW w:w="10875" w:type="dxa"/>
          </w:tcPr>
          <w:p w:rsidR="00F76BD4" w:rsidRPr="007761FF" w:rsidRDefault="007761FF" w:rsidP="00F76BD4">
            <w:pPr>
              <w:pStyle w:val="NormalWeb"/>
              <w:spacing w:after="0"/>
              <w:rPr>
                <w:rFonts w:asciiTheme="minorHAnsi" w:hAnsiTheme="minorHAnsi"/>
                <w:sz w:val="22"/>
                <w:szCs w:val="22"/>
                <w:lang w:val="en-CA"/>
              </w:rPr>
            </w:pPr>
            <w:r w:rsidRPr="007761FF">
              <w:rPr>
                <w:rFonts w:asciiTheme="minorHAnsi" w:hAnsiTheme="minorHAnsi" w:cs="Arial"/>
                <w:sz w:val="22"/>
                <w:szCs w:val="22"/>
                <w:shd w:val="clear" w:color="auto" w:fill="FFFFFF"/>
              </w:rPr>
              <w:t>The Division of Credit Unions released</w:t>
            </w:r>
            <w:r w:rsidRPr="007761FF">
              <w:rPr>
                <w:rStyle w:val="apple-converted-space"/>
                <w:rFonts w:asciiTheme="minorHAnsi" w:hAnsiTheme="minorHAnsi" w:cs="Arial"/>
                <w:sz w:val="22"/>
                <w:szCs w:val="22"/>
                <w:shd w:val="clear" w:color="auto" w:fill="FFFFFF"/>
              </w:rPr>
              <w:t> </w:t>
            </w:r>
            <w:hyperlink r:id="rId19" w:tgtFrame="_blank" w:history="1">
              <w:r w:rsidRPr="007761FF">
                <w:rPr>
                  <w:rStyle w:val="Hyperlink"/>
                  <w:rFonts w:asciiTheme="minorHAnsi" w:hAnsiTheme="minorHAnsi" w:cs="Arial"/>
                  <w:color w:val="4A8EAE"/>
                  <w:sz w:val="22"/>
                  <w:szCs w:val="22"/>
                  <w:u w:val="none"/>
                  <w:shd w:val="clear" w:color="auto" w:fill="FFFFFF"/>
                </w:rPr>
                <w:t>Bulletin B-16-04</w:t>
              </w:r>
            </w:hyperlink>
            <w:r w:rsidRPr="007761FF">
              <w:rPr>
                <w:rStyle w:val="apple-converted-space"/>
                <w:rFonts w:asciiTheme="minorHAnsi" w:hAnsiTheme="minorHAnsi" w:cs="Arial"/>
                <w:color w:val="4F4F52"/>
                <w:sz w:val="22"/>
                <w:szCs w:val="22"/>
                <w:shd w:val="clear" w:color="auto" w:fill="FFFFFF"/>
              </w:rPr>
              <w:t> </w:t>
            </w:r>
            <w:r w:rsidRPr="007761FF">
              <w:rPr>
                <w:rFonts w:asciiTheme="minorHAnsi" w:hAnsiTheme="minorHAnsi" w:cs="Arial"/>
                <w:sz w:val="22"/>
                <w:szCs w:val="22"/>
                <w:shd w:val="clear" w:color="auto" w:fill="FFFFFF"/>
              </w:rPr>
              <w:t xml:space="preserve">providing guidance for state-chartered credit unions on indirect lending compliance requirements – specifically the Risk Based Pricing Notice required by the Fair Credit Reporting Act.  </w:t>
            </w:r>
            <w:r w:rsidRPr="007761FF">
              <w:rPr>
                <w:rStyle w:val="Strong"/>
                <w:rFonts w:asciiTheme="minorHAnsi" w:hAnsiTheme="minorHAnsi" w:cs="Arial"/>
                <w:b w:val="0"/>
                <w:sz w:val="22"/>
                <w:szCs w:val="22"/>
                <w:shd w:val="clear" w:color="auto" w:fill="FFFFFF"/>
              </w:rPr>
              <w:t>Credit unions should either retain copies of provided Risk Based Pricing Notices in loan files or perform due diligence on automobile dealers to confirm they are providing the notices in a timely manner to the credit union’s indirect borrowers.</w:t>
            </w:r>
          </w:p>
        </w:tc>
      </w:tr>
      <w:tr w:rsidR="008756E8" w:rsidRPr="00967605" w:rsidTr="000C6F62">
        <w:tc>
          <w:tcPr>
            <w:tcW w:w="2283" w:type="dxa"/>
          </w:tcPr>
          <w:p w:rsidR="008756E8" w:rsidRDefault="00E13DD7" w:rsidP="00A37101">
            <w:hyperlink r:id="rId20" w:history="1">
              <w:r w:rsidR="00503A84" w:rsidRPr="00503A84">
                <w:rPr>
                  <w:rStyle w:val="Hyperlink"/>
                </w:rPr>
                <w:t>Online Payday Loan Payments</w:t>
              </w:r>
            </w:hyperlink>
          </w:p>
        </w:tc>
        <w:tc>
          <w:tcPr>
            <w:tcW w:w="10875" w:type="dxa"/>
          </w:tcPr>
          <w:p w:rsidR="008756E8" w:rsidRDefault="00A84002" w:rsidP="00503A84">
            <w:pPr>
              <w:pStyle w:val="NormalWeb"/>
              <w:spacing w:after="0"/>
              <w:rPr>
                <w:rFonts w:asciiTheme="minorHAnsi" w:hAnsiTheme="minorHAnsi"/>
                <w:sz w:val="22"/>
                <w:szCs w:val="22"/>
                <w:lang w:val="en-CA"/>
              </w:rPr>
            </w:pPr>
            <w:r>
              <w:rPr>
                <w:rFonts w:asciiTheme="minorHAnsi" w:hAnsiTheme="minorHAnsi"/>
                <w:sz w:val="22"/>
                <w:szCs w:val="22"/>
                <w:lang w:val="en-CA"/>
              </w:rPr>
              <w:t xml:space="preserve">The CFPB released a study on payday lending and </w:t>
            </w:r>
            <w:r w:rsidR="00503A84">
              <w:rPr>
                <w:rFonts w:asciiTheme="minorHAnsi" w:hAnsiTheme="minorHAnsi"/>
                <w:sz w:val="22"/>
                <w:szCs w:val="22"/>
                <w:lang w:val="en-CA"/>
              </w:rPr>
              <w:t>hidden costs borrowers</w:t>
            </w:r>
            <w:r>
              <w:rPr>
                <w:rFonts w:asciiTheme="minorHAnsi" w:hAnsiTheme="minorHAnsi"/>
                <w:sz w:val="22"/>
                <w:szCs w:val="22"/>
                <w:lang w:val="en-CA"/>
              </w:rPr>
              <w:t xml:space="preserve"> can face when they use them.  </w:t>
            </w:r>
            <w:r w:rsidR="00503A84">
              <w:rPr>
                <w:rFonts w:asciiTheme="minorHAnsi" w:hAnsiTheme="minorHAnsi"/>
                <w:sz w:val="22"/>
                <w:szCs w:val="22"/>
                <w:lang w:val="en-CA"/>
              </w:rPr>
              <w:t xml:space="preserve">The report examines the ways that online lenders attempt to recover their money by debiting a consumer’s checking account.  </w:t>
            </w:r>
          </w:p>
        </w:tc>
      </w:tr>
    </w:tbl>
    <w:p w:rsidR="000C6F62" w:rsidRDefault="000C6F62" w:rsidP="00D1188B"/>
    <w:p w:rsidR="00B532FB" w:rsidRDefault="00A84002" w:rsidP="00D1188B">
      <w:r>
        <w:t xml:space="preserve">The Financial Accounting Standards Board (FASB) is continuing to work out the final issues of its expected credit loss (CECL) proposal.  Recent changes to the proposal state that there is no one methodology that has to be used, and that the FASB’s intention is that each institution </w:t>
      </w:r>
      <w:proofErr w:type="gramStart"/>
      <w:r>
        <w:t>apply</w:t>
      </w:r>
      <w:proofErr w:type="gramEnd"/>
      <w:r>
        <w:t xml:space="preserve"> the method that is appropriate for its portfolio based on the knowledge of their businesses and products.  The proposal </w:t>
      </w:r>
      <w:proofErr w:type="gramStart"/>
      <w:r>
        <w:t xml:space="preserve">is expected to be </w:t>
      </w:r>
      <w:r w:rsidR="0007572E">
        <w:t>published</w:t>
      </w:r>
      <w:proofErr w:type="gramEnd"/>
      <w:r w:rsidR="0007572E">
        <w:t xml:space="preserve"> in June</w:t>
      </w:r>
      <w:r>
        <w:t xml:space="preserve">.  </w:t>
      </w:r>
      <w:r w:rsidR="0007572E">
        <w:t>It will be effective for annual periods beginning after December 15, 2020, and interim periods within fiscal years beginning after December 15, 2021.</w:t>
      </w:r>
    </w:p>
    <w:p w:rsidR="00886D2A" w:rsidRDefault="00886D2A" w:rsidP="00D1188B">
      <w:r>
        <w:t xml:space="preserve">The CFPB released its student loan </w:t>
      </w:r>
      <w:hyperlink r:id="rId21" w:history="1">
        <w:r w:rsidRPr="00886D2A">
          <w:rPr>
            <w:rStyle w:val="Hyperlink"/>
          </w:rPr>
          <w:t>Payback Playbook prototype</w:t>
        </w:r>
      </w:hyperlink>
      <w:r>
        <w:t xml:space="preserve">.  This is a set of disclosures for borrowers that would be included on monthly bills, emails from servicers, and when logging in online to their accounts.   The CFPB is accepting comments on the prototype through June 12, 2016.  We should expect requirements for these in the future.  </w:t>
      </w:r>
    </w:p>
    <w:p w:rsidR="00886D2A" w:rsidRDefault="00886D2A" w:rsidP="00D1188B">
      <w:r>
        <w:t xml:space="preserve">The CFPB also reopened the comment period on a </w:t>
      </w:r>
      <w:hyperlink r:id="rId22" w:history="1">
        <w:r w:rsidRPr="00265D6B">
          <w:rPr>
            <w:rStyle w:val="Hyperlink"/>
          </w:rPr>
          <w:t>servicing proposal</w:t>
        </w:r>
      </w:hyperlink>
      <w:r w:rsidR="00265D6B">
        <w:t xml:space="preserve"> regarding bankruptcy and Regulations X and Z.  The 2014 proposal addressed requiring servicers to provide modified periodic statements to borrowers who have filed for bankruptcy.  Comments </w:t>
      </w:r>
      <w:proofErr w:type="gramStart"/>
      <w:r w:rsidR="00265D6B">
        <w:t>will be accepted</w:t>
      </w:r>
      <w:proofErr w:type="gramEnd"/>
      <w:r w:rsidR="00265D6B">
        <w:t xml:space="preserve"> until May 26, 2016.  </w:t>
      </w:r>
    </w:p>
    <w:p w:rsidR="00A731C9" w:rsidRDefault="00A731C9" w:rsidP="00D1188B">
      <w:r>
        <w:lastRenderedPageBreak/>
        <w:t xml:space="preserve">And, the CFPB </w:t>
      </w:r>
      <w:hyperlink r:id="rId23" w:history="1">
        <w:r w:rsidRPr="00A731C9">
          <w:rPr>
            <w:rStyle w:val="Hyperlink"/>
          </w:rPr>
          <w:t>plans</w:t>
        </w:r>
      </w:hyperlink>
      <w:r>
        <w:t xml:space="preserve"> on releasing a Notice of Proposed Rulemaking in July incorporating some the their existing informal guidance on the Know Before You Owe mortgage disclosure forms into the regulations’ text.  </w:t>
      </w:r>
    </w:p>
    <w:p w:rsidR="0007572E" w:rsidRDefault="0007572E"/>
    <w:p w:rsidR="007E5A30" w:rsidRDefault="007E5A30">
      <w:r>
        <w:br w:type="page"/>
      </w:r>
    </w:p>
    <w:p w:rsidR="007E5A30" w:rsidRDefault="007E5A30" w:rsidP="007E5A30">
      <w:pPr>
        <w:spacing w:after="0" w:line="240" w:lineRule="auto"/>
        <w:outlineLvl w:val="3"/>
        <w:rPr>
          <w:rFonts w:eastAsia="Times New Roman" w:cs="Times New Roman"/>
          <w:b/>
          <w:bCs/>
        </w:rPr>
      </w:pPr>
      <w:r>
        <w:rPr>
          <w:rFonts w:eastAsia="Times New Roman" w:cs="Times New Roman"/>
          <w:b/>
          <w:bCs/>
        </w:rPr>
        <w:lastRenderedPageBreak/>
        <w:t>Washington Fixed Assets Rule</w:t>
      </w:r>
    </w:p>
    <w:p w:rsidR="007E5A30" w:rsidRPr="007E5A30" w:rsidRDefault="007E5A30" w:rsidP="007E5A30">
      <w:pPr>
        <w:spacing w:after="75" w:line="240" w:lineRule="auto"/>
        <w:outlineLvl w:val="3"/>
        <w:rPr>
          <w:rFonts w:eastAsia="Times New Roman" w:cs="Times New Roman"/>
          <w:b/>
          <w:bCs/>
        </w:rPr>
      </w:pPr>
      <w:r w:rsidRPr="007E5A30">
        <w:rPr>
          <w:rFonts w:eastAsia="Times New Roman" w:cs="Times New Roman"/>
          <w:b/>
          <w:bCs/>
        </w:rPr>
        <w:t>RCW 31.12.438</w:t>
      </w:r>
    </w:p>
    <w:p w:rsidR="007E5A30" w:rsidRPr="007E5A30" w:rsidRDefault="007E5A30" w:rsidP="007E5A30">
      <w:pPr>
        <w:spacing w:before="75" w:after="75" w:line="240" w:lineRule="auto"/>
        <w:outlineLvl w:val="3"/>
        <w:rPr>
          <w:rFonts w:eastAsia="Times New Roman" w:cs="Times New Roman"/>
          <w:b/>
          <w:bCs/>
        </w:rPr>
      </w:pPr>
      <w:r w:rsidRPr="007E5A30">
        <w:rPr>
          <w:rFonts w:eastAsia="Times New Roman" w:cs="Times New Roman"/>
          <w:b/>
          <w:bCs/>
        </w:rPr>
        <w:t>Investment in real property or leasehold interests—Limitations—Future expansion—Rules.</w:t>
      </w:r>
    </w:p>
    <w:p w:rsidR="007E5A30" w:rsidRPr="007E5A30" w:rsidRDefault="007E5A30" w:rsidP="007E5A30">
      <w:pPr>
        <w:pStyle w:val="ListParagraph"/>
        <w:numPr>
          <w:ilvl w:val="0"/>
          <w:numId w:val="7"/>
        </w:numPr>
        <w:spacing w:after="0" w:line="240" w:lineRule="auto"/>
        <w:ind w:left="360"/>
        <w:rPr>
          <w:rFonts w:eastAsia="Times New Roman" w:cs="Times New Roman"/>
        </w:rPr>
      </w:pPr>
      <w:r w:rsidRPr="007E5A30">
        <w:rPr>
          <w:rFonts w:eastAsia="Times New Roman" w:cs="Times New Roman"/>
        </w:rPr>
        <w:t>A credit union may invest in real property or leasehold interests primarily for its own use or the use of a credit union service organization in conducting business, including, but not limited to, structures and fixtures attached to real property, subject to the following limitations:</w:t>
      </w:r>
    </w:p>
    <w:p w:rsidR="007E5A30" w:rsidRPr="007E5A30" w:rsidRDefault="007E5A30" w:rsidP="007E5A30">
      <w:pPr>
        <w:pStyle w:val="ListParagraph"/>
        <w:numPr>
          <w:ilvl w:val="0"/>
          <w:numId w:val="8"/>
        </w:numPr>
        <w:spacing w:after="0" w:line="240" w:lineRule="auto"/>
        <w:rPr>
          <w:rFonts w:eastAsia="Times New Roman" w:cs="Times New Roman"/>
        </w:rPr>
      </w:pPr>
      <w:r w:rsidRPr="007E5A30">
        <w:rPr>
          <w:rFonts w:eastAsia="Times New Roman" w:cs="Times New Roman"/>
        </w:rPr>
        <w:t>The credit union's net worth equals at least five percent of the total of its share and deposit accounts;</w:t>
      </w:r>
    </w:p>
    <w:p w:rsidR="007E5A30" w:rsidRPr="007E5A30" w:rsidRDefault="007E5A30" w:rsidP="007E5A30">
      <w:pPr>
        <w:pStyle w:val="ListParagraph"/>
        <w:numPr>
          <w:ilvl w:val="0"/>
          <w:numId w:val="8"/>
        </w:numPr>
        <w:spacing w:after="0" w:line="240" w:lineRule="auto"/>
        <w:rPr>
          <w:rFonts w:eastAsia="Times New Roman" w:cs="Times New Roman"/>
        </w:rPr>
      </w:pPr>
      <w:r w:rsidRPr="007E5A30">
        <w:rPr>
          <w:rFonts w:eastAsia="Times New Roman" w:cs="Times New Roman"/>
        </w:rPr>
        <w:t>The board approves the investment; and</w:t>
      </w:r>
    </w:p>
    <w:p w:rsidR="007E5A30" w:rsidRPr="007E5A30" w:rsidRDefault="007E5A30" w:rsidP="007E5A30">
      <w:pPr>
        <w:pStyle w:val="ListParagraph"/>
        <w:numPr>
          <w:ilvl w:val="0"/>
          <w:numId w:val="8"/>
        </w:numPr>
        <w:spacing w:after="0" w:line="240" w:lineRule="auto"/>
        <w:rPr>
          <w:rFonts w:eastAsia="Times New Roman" w:cs="Times New Roman"/>
        </w:rPr>
      </w:pPr>
      <w:r w:rsidRPr="007E5A30">
        <w:rPr>
          <w:rFonts w:eastAsia="Times New Roman" w:cs="Times New Roman"/>
        </w:rPr>
        <w:t>The aggregate of all such investments does not exceed seven and one-half percent of the total of its share and deposit accounts.</w:t>
      </w:r>
    </w:p>
    <w:p w:rsidR="007E5A30" w:rsidRPr="007E5A30" w:rsidRDefault="007E5A30" w:rsidP="007E5A30">
      <w:pPr>
        <w:pStyle w:val="ListParagraph"/>
        <w:numPr>
          <w:ilvl w:val="0"/>
          <w:numId w:val="7"/>
        </w:numPr>
        <w:spacing w:after="0" w:line="240" w:lineRule="auto"/>
        <w:ind w:left="360"/>
        <w:rPr>
          <w:rFonts w:eastAsia="Times New Roman" w:cs="Times New Roman"/>
        </w:rPr>
      </w:pPr>
      <w:proofErr w:type="gramStart"/>
      <w:r w:rsidRPr="007E5A30">
        <w:rPr>
          <w:rFonts w:eastAsia="Times New Roman" w:cs="Times New Roman"/>
        </w:rPr>
        <w:t>If the real property or leasehold interest is acquired for future expansion, the credit union must partially occupy the premises within three years after the credit union makes the investment, if the premises are improved at the time of acquisition, or within six years after the credit union makes the investment, if the premises are unimproved at the time of acquisition.</w:t>
      </w:r>
      <w:proofErr w:type="gramEnd"/>
    </w:p>
    <w:p w:rsidR="007E5A30" w:rsidRPr="007E5A30" w:rsidRDefault="007E5A30" w:rsidP="007E5A30">
      <w:pPr>
        <w:pStyle w:val="ListParagraph"/>
        <w:numPr>
          <w:ilvl w:val="0"/>
          <w:numId w:val="7"/>
        </w:numPr>
        <w:spacing w:after="0" w:line="240" w:lineRule="auto"/>
        <w:ind w:left="360"/>
        <w:rPr>
          <w:rFonts w:eastAsia="Times New Roman" w:cs="Times New Roman"/>
        </w:rPr>
      </w:pPr>
      <w:r w:rsidRPr="007E5A30">
        <w:rPr>
          <w:rFonts w:eastAsia="Times New Roman" w:cs="Times New Roman"/>
        </w:rPr>
        <w:t xml:space="preserve">The director </w:t>
      </w:r>
      <w:proofErr w:type="gramStart"/>
      <w:r w:rsidRPr="007E5A30">
        <w:rPr>
          <w:rFonts w:eastAsia="Times New Roman" w:cs="Times New Roman"/>
        </w:rPr>
        <w:t>may, upon written application, waive</w:t>
      </w:r>
      <w:proofErr w:type="gramEnd"/>
      <w:r w:rsidRPr="007E5A30">
        <w:rPr>
          <w:rFonts w:eastAsia="Times New Roman" w:cs="Times New Roman"/>
        </w:rPr>
        <w:t xml:space="preserve"> any of the limitations listed in subsection (1) or (2) of this section, and the director may adopt rules to interpret this section.</w:t>
      </w:r>
    </w:p>
    <w:p w:rsidR="007E5A30" w:rsidRDefault="007E5A30"/>
    <w:p w:rsidR="007E5A30" w:rsidRPr="007E5A30" w:rsidRDefault="007E5A30" w:rsidP="007E5A30">
      <w:pPr>
        <w:spacing w:after="0"/>
        <w:rPr>
          <w:b/>
        </w:rPr>
      </w:pPr>
      <w:r w:rsidRPr="007E5A30">
        <w:rPr>
          <w:b/>
        </w:rPr>
        <w:t>Oregon Fixed Assets Rule</w:t>
      </w:r>
    </w:p>
    <w:p w:rsidR="007E5A30" w:rsidRPr="007E5A30" w:rsidRDefault="007E5A30" w:rsidP="007E5A30">
      <w:pPr>
        <w:spacing w:after="0"/>
        <w:rPr>
          <w:b/>
        </w:rPr>
      </w:pPr>
      <w:r w:rsidRPr="007E5A30">
        <w:rPr>
          <w:b/>
        </w:rPr>
        <w:t>441-710-0240</w:t>
      </w:r>
    </w:p>
    <w:p w:rsidR="007E5A30" w:rsidRPr="007E5A30" w:rsidRDefault="007E5A30" w:rsidP="007E5A30">
      <w:pPr>
        <w:spacing w:after="0"/>
        <w:rPr>
          <w:b/>
        </w:rPr>
      </w:pPr>
      <w:r w:rsidRPr="007E5A30">
        <w:rPr>
          <w:b/>
        </w:rPr>
        <w:t>Limitations on Ownership of Fixed Assets</w:t>
      </w:r>
    </w:p>
    <w:p w:rsidR="007E5A30" w:rsidRDefault="007E5A30" w:rsidP="007E5A30">
      <w:r>
        <w:t>Under ORS 723.152(4), a credit union has the power to acquire, lease, hold and dispose of property necessary or incidental to its operations. A credit union's ownership of fixed assets is limited as described by OAR 441-710-0240 to 441-710-0270.</w:t>
      </w:r>
    </w:p>
    <w:p w:rsidR="007E5A30" w:rsidRPr="007E5A30" w:rsidRDefault="007E5A30" w:rsidP="007E5A30">
      <w:pPr>
        <w:spacing w:after="0"/>
        <w:rPr>
          <w:b/>
        </w:rPr>
      </w:pPr>
      <w:r w:rsidRPr="007E5A30">
        <w:rPr>
          <w:b/>
        </w:rPr>
        <w:t>441-710-0260</w:t>
      </w:r>
    </w:p>
    <w:p w:rsidR="007E5A30" w:rsidRPr="007E5A30" w:rsidRDefault="007E5A30" w:rsidP="007E5A30">
      <w:pPr>
        <w:spacing w:after="0"/>
        <w:rPr>
          <w:b/>
        </w:rPr>
      </w:pPr>
      <w:r w:rsidRPr="007E5A30">
        <w:rPr>
          <w:b/>
        </w:rPr>
        <w:t>Investment in Fixed Assets</w:t>
      </w:r>
    </w:p>
    <w:p w:rsidR="007E5A30" w:rsidRDefault="007E5A30" w:rsidP="007E5A30">
      <w:pPr>
        <w:pStyle w:val="ListParagraph"/>
        <w:numPr>
          <w:ilvl w:val="0"/>
          <w:numId w:val="10"/>
        </w:numPr>
        <w:ind w:left="360"/>
      </w:pPr>
      <w:r>
        <w:t xml:space="preserve">A credit union </w:t>
      </w:r>
      <w:proofErr w:type="gramStart"/>
      <w:r>
        <w:t>shall not, without the prior approval of the Director, invest</w:t>
      </w:r>
      <w:proofErr w:type="gramEnd"/>
      <w:r>
        <w:t xml:space="preserve"> in fixed assets if the aggregate of all such investments exceeds five percent of total assets.</w:t>
      </w:r>
    </w:p>
    <w:p w:rsidR="007E5A30" w:rsidRDefault="007E5A30" w:rsidP="007E5A30">
      <w:pPr>
        <w:pStyle w:val="ListParagraph"/>
        <w:numPr>
          <w:ilvl w:val="0"/>
          <w:numId w:val="10"/>
        </w:numPr>
        <w:ind w:left="360"/>
      </w:pPr>
      <w:r>
        <w:t>A credit union shall submit such statements and reports as the Director may require in support of a request for approval of an investment in fixed assets in excess of the limit specified by section (1) of this rule. Such reports and statements shall include, but need not be limited to:</w:t>
      </w:r>
    </w:p>
    <w:p w:rsidR="007E5A30" w:rsidRDefault="007E5A30" w:rsidP="007E5A30">
      <w:pPr>
        <w:pStyle w:val="ListParagraph"/>
        <w:numPr>
          <w:ilvl w:val="0"/>
          <w:numId w:val="11"/>
        </w:numPr>
      </w:pPr>
      <w:r>
        <w:t>A narrative, describing the proposal in terms of costs, usage, location and method of financing;</w:t>
      </w:r>
    </w:p>
    <w:p w:rsidR="007E5A30" w:rsidRDefault="007E5A30" w:rsidP="007E5A30">
      <w:pPr>
        <w:pStyle w:val="ListParagraph"/>
        <w:numPr>
          <w:ilvl w:val="0"/>
          <w:numId w:val="11"/>
        </w:numPr>
      </w:pPr>
      <w:r>
        <w:t>Current financial data; and</w:t>
      </w:r>
    </w:p>
    <w:p w:rsidR="007E5A30" w:rsidRDefault="007E5A30" w:rsidP="007E5A30">
      <w:pPr>
        <w:pStyle w:val="ListParagraph"/>
        <w:numPr>
          <w:ilvl w:val="0"/>
          <w:numId w:val="11"/>
        </w:numPr>
      </w:pPr>
      <w:r>
        <w:lastRenderedPageBreak/>
        <w:t xml:space="preserve">A pro forma projected balance sheet and statements of income and expenses for each of the ensuing three years based upon the assumption that the proposal </w:t>
      </w:r>
      <w:proofErr w:type="gramStart"/>
      <w:r>
        <w:t>will be approved</w:t>
      </w:r>
      <w:proofErr w:type="gramEnd"/>
      <w:r>
        <w:t>.</w:t>
      </w:r>
    </w:p>
    <w:p w:rsidR="007E5A30" w:rsidRDefault="007E5A30" w:rsidP="007E5A30">
      <w:pPr>
        <w:pStyle w:val="ListParagraph"/>
        <w:numPr>
          <w:ilvl w:val="0"/>
          <w:numId w:val="10"/>
        </w:numPr>
        <w:ind w:left="360"/>
      </w:pPr>
      <w:r>
        <w:t xml:space="preserve">If the Director determines that the proposal will not adversely affect the credit union, an aggregate dollar amount or percentage of assets </w:t>
      </w:r>
      <w:proofErr w:type="gramStart"/>
      <w:r>
        <w:t>will be approved</w:t>
      </w:r>
      <w:proofErr w:type="gramEnd"/>
      <w:r>
        <w:t xml:space="preserve"> for investment in fixed assets for that credit union.</w:t>
      </w:r>
    </w:p>
    <w:p w:rsidR="007E5A30" w:rsidRPr="007E5A30" w:rsidRDefault="007E5A30" w:rsidP="007E5A30">
      <w:pPr>
        <w:spacing w:after="0"/>
        <w:rPr>
          <w:b/>
        </w:rPr>
      </w:pPr>
      <w:r w:rsidRPr="007E5A30">
        <w:rPr>
          <w:b/>
        </w:rPr>
        <w:t>441-710-0270</w:t>
      </w:r>
    </w:p>
    <w:p w:rsidR="007E5A30" w:rsidRPr="007E5A30" w:rsidRDefault="007E5A30" w:rsidP="007E5A30">
      <w:pPr>
        <w:spacing w:after="0"/>
        <w:rPr>
          <w:b/>
        </w:rPr>
      </w:pPr>
      <w:r w:rsidRPr="007E5A30">
        <w:rPr>
          <w:b/>
        </w:rPr>
        <w:t>Investment in Premises</w:t>
      </w:r>
    </w:p>
    <w:p w:rsidR="007E5A30" w:rsidRDefault="007E5A30" w:rsidP="007E5A30">
      <w:pPr>
        <w:pStyle w:val="ListParagraph"/>
        <w:numPr>
          <w:ilvl w:val="0"/>
          <w:numId w:val="12"/>
        </w:numPr>
        <w:ind w:left="360"/>
      </w:pPr>
      <w:r>
        <w:t xml:space="preserve">When real property </w:t>
      </w:r>
      <w:proofErr w:type="gramStart"/>
      <w:r>
        <w:t>is acquired</w:t>
      </w:r>
      <w:proofErr w:type="gramEnd"/>
      <w:r>
        <w:t xml:space="preserve"> for future expansion, at least partial utilization should be accomplished within a reasonable period, which shall not exceed three years unless otherwise approved in writing by the Director.</w:t>
      </w:r>
    </w:p>
    <w:p w:rsidR="007E5A30" w:rsidRDefault="007E5A30" w:rsidP="007E5A30">
      <w:pPr>
        <w:pStyle w:val="ListParagraph"/>
        <w:numPr>
          <w:ilvl w:val="0"/>
          <w:numId w:val="12"/>
        </w:numPr>
        <w:ind w:left="360"/>
      </w:pPr>
      <w:r>
        <w:t xml:space="preserve">When a credit union acquires unimproved real property for future expansion, the credit union shall at least partially utilize the property within a reasonable </w:t>
      </w:r>
      <w:proofErr w:type="gramStart"/>
      <w:r>
        <w:t>period of time</w:t>
      </w:r>
      <w:proofErr w:type="gramEnd"/>
      <w:r>
        <w:t>, not to exceed six years unless otherwise approved in writing by the Director.</w:t>
      </w:r>
    </w:p>
    <w:p w:rsidR="007E5A30" w:rsidRDefault="007E5A30" w:rsidP="007E5A30">
      <w:pPr>
        <w:pStyle w:val="ListParagraph"/>
        <w:numPr>
          <w:ilvl w:val="0"/>
          <w:numId w:val="12"/>
        </w:numPr>
        <w:ind w:left="360"/>
      </w:pPr>
      <w:r>
        <w:t xml:space="preserve">After real property acquired for future expansion under sections (1) or (2) of this rule </w:t>
      </w:r>
      <w:proofErr w:type="gramStart"/>
      <w:r>
        <w:t>has been held</w:t>
      </w:r>
      <w:proofErr w:type="gramEnd"/>
      <w:r>
        <w:t xml:space="preserve"> for one year, a board resolution with definitive plans for utilization must be available for inspection by the Director's examiners.</w:t>
      </w:r>
    </w:p>
    <w:p w:rsidR="007E5A30" w:rsidRDefault="007E5A30" w:rsidP="007E5A30">
      <w:pPr>
        <w:pStyle w:val="ListParagraph"/>
        <w:numPr>
          <w:ilvl w:val="0"/>
          <w:numId w:val="12"/>
        </w:numPr>
        <w:ind w:left="360"/>
      </w:pPr>
      <w:r>
        <w:t xml:space="preserve">Investments in premises </w:t>
      </w:r>
      <w:proofErr w:type="gramStart"/>
      <w:r>
        <w:t>will be recorded</w:t>
      </w:r>
      <w:proofErr w:type="gramEnd"/>
      <w:r>
        <w:t xml:space="preserve"> on the credit union's books in accordance with generally accepted accounting principles. The cost of land </w:t>
      </w:r>
      <w:proofErr w:type="gramStart"/>
      <w:r>
        <w:t>shall be carried</w:t>
      </w:r>
      <w:proofErr w:type="gramEnd"/>
      <w:r>
        <w:t xml:space="preserve"> on the books of the credit union in an account separate from the cost of improvements thereon.</w:t>
      </w:r>
    </w:p>
    <w:sectPr w:rsidR="007E5A30" w:rsidSect="004670B2">
      <w:headerReference w:type="default" r:id="rId24"/>
      <w:footerReference w:type="default" r:id="rId2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D7" w:rsidRDefault="00E13DD7" w:rsidP="009516FB">
      <w:pPr>
        <w:spacing w:after="0" w:line="240" w:lineRule="auto"/>
      </w:pPr>
      <w:r>
        <w:separator/>
      </w:r>
    </w:p>
  </w:endnote>
  <w:endnote w:type="continuationSeparator" w:id="0">
    <w:p w:rsidR="00E13DD7" w:rsidRDefault="00E13DD7" w:rsidP="0095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FB" w:rsidRDefault="00C5176C" w:rsidP="009516FB">
    <w:pPr>
      <w:pStyle w:val="Footer"/>
      <w:jc w:val="right"/>
    </w:pPr>
    <w:r>
      <w:rPr>
        <w:noProof/>
      </w:rPr>
      <w:drawing>
        <wp:inline distT="0" distB="0" distL="0" distR="0" wp14:anchorId="7666BC11" wp14:editId="5E49D36E">
          <wp:extent cx="2133600"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13105"/>
                  </a:xfrm>
                  <a:prstGeom prst="rect">
                    <a:avLst/>
                  </a:prstGeom>
                  <a:noFill/>
                </pic:spPr>
              </pic:pic>
            </a:graphicData>
          </a:graphic>
        </wp:inline>
      </w:drawing>
    </w:r>
    <w:r>
      <w:t xml:space="preserve">                                                  </w:t>
    </w:r>
    <w:r w:rsidR="00526961">
      <w:t xml:space="preserve">Legislative Update </w:t>
    </w:r>
    <w:r w:rsidR="00C950B3">
      <w:t>April</w:t>
    </w:r>
    <w:r w:rsidR="0042461E">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D7" w:rsidRDefault="00E13DD7" w:rsidP="009516FB">
      <w:pPr>
        <w:spacing w:after="0" w:line="240" w:lineRule="auto"/>
      </w:pPr>
      <w:r>
        <w:separator/>
      </w:r>
    </w:p>
  </w:footnote>
  <w:footnote w:type="continuationSeparator" w:id="0">
    <w:p w:rsidR="00E13DD7" w:rsidRDefault="00E13DD7" w:rsidP="00951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028335"/>
      <w:docPartObj>
        <w:docPartGallery w:val="Page Numbers (Top of Page)"/>
        <w:docPartUnique/>
      </w:docPartObj>
    </w:sdtPr>
    <w:sdtEndPr>
      <w:rPr>
        <w:noProof/>
      </w:rPr>
    </w:sdtEndPr>
    <w:sdtContent>
      <w:p w:rsidR="00A54A69" w:rsidRDefault="00A54A69">
        <w:pPr>
          <w:pStyle w:val="Header"/>
          <w:jc w:val="right"/>
        </w:pPr>
        <w:r>
          <w:fldChar w:fldCharType="begin"/>
        </w:r>
        <w:r>
          <w:instrText xml:space="preserve"> PAGE   \* MERGEFORMAT </w:instrText>
        </w:r>
        <w:r>
          <w:fldChar w:fldCharType="separate"/>
        </w:r>
        <w:r w:rsidR="007075BA">
          <w:rPr>
            <w:noProof/>
          </w:rPr>
          <w:t>1</w:t>
        </w:r>
        <w:r>
          <w:rPr>
            <w:noProof/>
          </w:rPr>
          <w:fldChar w:fldCharType="end"/>
        </w:r>
      </w:p>
    </w:sdtContent>
  </w:sdt>
  <w:p w:rsidR="007E5A30" w:rsidRDefault="007E5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56EF"/>
    <w:multiLevelType w:val="multilevel"/>
    <w:tmpl w:val="C3AE8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20100"/>
    <w:multiLevelType w:val="hybridMultilevel"/>
    <w:tmpl w:val="F42E4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E7D9B"/>
    <w:multiLevelType w:val="hybridMultilevel"/>
    <w:tmpl w:val="58F067C4"/>
    <w:lvl w:ilvl="0" w:tplc="141CBF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A3CB8"/>
    <w:multiLevelType w:val="hybridMultilevel"/>
    <w:tmpl w:val="6C348528"/>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F03A7"/>
    <w:multiLevelType w:val="hybridMultilevel"/>
    <w:tmpl w:val="8A84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675FE3"/>
    <w:multiLevelType w:val="hybridMultilevel"/>
    <w:tmpl w:val="D51E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B3667"/>
    <w:multiLevelType w:val="hybridMultilevel"/>
    <w:tmpl w:val="BE043168"/>
    <w:lvl w:ilvl="0" w:tplc="8D5A21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611F3F"/>
    <w:multiLevelType w:val="hybridMultilevel"/>
    <w:tmpl w:val="100C1B8E"/>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D26A89"/>
    <w:multiLevelType w:val="multilevel"/>
    <w:tmpl w:val="9316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5810930"/>
    <w:multiLevelType w:val="hybridMultilevel"/>
    <w:tmpl w:val="BE984502"/>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2517DE"/>
    <w:multiLevelType w:val="multilevel"/>
    <w:tmpl w:val="9A8E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F822BA"/>
    <w:multiLevelType w:val="hybridMultilevel"/>
    <w:tmpl w:val="C42A2EC0"/>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4"/>
  </w:num>
  <w:num w:numId="5">
    <w:abstractNumId w:val="8"/>
  </w:num>
  <w:num w:numId="6">
    <w:abstractNumId w:val="1"/>
  </w:num>
  <w:num w:numId="7">
    <w:abstractNumId w:val="7"/>
  </w:num>
  <w:num w:numId="8">
    <w:abstractNumId w:val="6"/>
  </w:num>
  <w:num w:numId="9">
    <w:abstractNumId w:val="11"/>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B2"/>
    <w:rsid w:val="00001E88"/>
    <w:rsid w:val="00011112"/>
    <w:rsid w:val="00013FA8"/>
    <w:rsid w:val="00036A9E"/>
    <w:rsid w:val="0004395A"/>
    <w:rsid w:val="00050E93"/>
    <w:rsid w:val="00053D69"/>
    <w:rsid w:val="0007572E"/>
    <w:rsid w:val="000C6F62"/>
    <w:rsid w:val="000E0E4E"/>
    <w:rsid w:val="000E1F7A"/>
    <w:rsid w:val="00105532"/>
    <w:rsid w:val="00105BF0"/>
    <w:rsid w:val="00114BD2"/>
    <w:rsid w:val="0012584F"/>
    <w:rsid w:val="00137A4B"/>
    <w:rsid w:val="00154381"/>
    <w:rsid w:val="00155503"/>
    <w:rsid w:val="00155BB2"/>
    <w:rsid w:val="00173106"/>
    <w:rsid w:val="00174A57"/>
    <w:rsid w:val="00176A30"/>
    <w:rsid w:val="001924F5"/>
    <w:rsid w:val="001C24FB"/>
    <w:rsid w:val="001F4193"/>
    <w:rsid w:val="00207316"/>
    <w:rsid w:val="0022595F"/>
    <w:rsid w:val="00233F19"/>
    <w:rsid w:val="002362A2"/>
    <w:rsid w:val="00251848"/>
    <w:rsid w:val="00261F16"/>
    <w:rsid w:val="002635E0"/>
    <w:rsid w:val="00265D6B"/>
    <w:rsid w:val="00272CD7"/>
    <w:rsid w:val="00274CDA"/>
    <w:rsid w:val="002B38F0"/>
    <w:rsid w:val="002B4E3D"/>
    <w:rsid w:val="002C4A0B"/>
    <w:rsid w:val="002E109D"/>
    <w:rsid w:val="002F3DF3"/>
    <w:rsid w:val="003011AF"/>
    <w:rsid w:val="003245BB"/>
    <w:rsid w:val="00356321"/>
    <w:rsid w:val="00366CE9"/>
    <w:rsid w:val="0038010D"/>
    <w:rsid w:val="003B2BCF"/>
    <w:rsid w:val="003B5637"/>
    <w:rsid w:val="003B5E21"/>
    <w:rsid w:val="003C7920"/>
    <w:rsid w:val="003D64B3"/>
    <w:rsid w:val="003E0302"/>
    <w:rsid w:val="003E2AD1"/>
    <w:rsid w:val="003E70C6"/>
    <w:rsid w:val="003F618F"/>
    <w:rsid w:val="004070E9"/>
    <w:rsid w:val="0042461E"/>
    <w:rsid w:val="00435186"/>
    <w:rsid w:val="00444FFD"/>
    <w:rsid w:val="00445E61"/>
    <w:rsid w:val="00451B34"/>
    <w:rsid w:val="00451DB7"/>
    <w:rsid w:val="00453DA0"/>
    <w:rsid w:val="004629C9"/>
    <w:rsid w:val="004670B2"/>
    <w:rsid w:val="0048047D"/>
    <w:rsid w:val="004B0CF2"/>
    <w:rsid w:val="004B1A12"/>
    <w:rsid w:val="004B7407"/>
    <w:rsid w:val="004C2F31"/>
    <w:rsid w:val="004C4FD5"/>
    <w:rsid w:val="004D5C8D"/>
    <w:rsid w:val="004F7B91"/>
    <w:rsid w:val="00502F4F"/>
    <w:rsid w:val="00503A84"/>
    <w:rsid w:val="00513A6B"/>
    <w:rsid w:val="005208A0"/>
    <w:rsid w:val="00525941"/>
    <w:rsid w:val="00526961"/>
    <w:rsid w:val="0057444C"/>
    <w:rsid w:val="005A164C"/>
    <w:rsid w:val="005B2EEA"/>
    <w:rsid w:val="005D4EA4"/>
    <w:rsid w:val="005F4D1E"/>
    <w:rsid w:val="00605BAB"/>
    <w:rsid w:val="00615725"/>
    <w:rsid w:val="006264E4"/>
    <w:rsid w:val="00630088"/>
    <w:rsid w:val="00630275"/>
    <w:rsid w:val="00634CA3"/>
    <w:rsid w:val="00644E58"/>
    <w:rsid w:val="006468AC"/>
    <w:rsid w:val="00667C6B"/>
    <w:rsid w:val="00672066"/>
    <w:rsid w:val="00692031"/>
    <w:rsid w:val="00693EF2"/>
    <w:rsid w:val="006A0683"/>
    <w:rsid w:val="006A7271"/>
    <w:rsid w:val="006B67AC"/>
    <w:rsid w:val="006C0A16"/>
    <w:rsid w:val="006D0C47"/>
    <w:rsid w:val="006D4256"/>
    <w:rsid w:val="006E10DB"/>
    <w:rsid w:val="007075BA"/>
    <w:rsid w:val="00710285"/>
    <w:rsid w:val="007122A3"/>
    <w:rsid w:val="00734132"/>
    <w:rsid w:val="0075139C"/>
    <w:rsid w:val="0076011C"/>
    <w:rsid w:val="007761FF"/>
    <w:rsid w:val="0079268D"/>
    <w:rsid w:val="007A49A6"/>
    <w:rsid w:val="007A4A48"/>
    <w:rsid w:val="007A78BD"/>
    <w:rsid w:val="007B2E65"/>
    <w:rsid w:val="007C7A17"/>
    <w:rsid w:val="007E2F0F"/>
    <w:rsid w:val="007E5A30"/>
    <w:rsid w:val="007F1644"/>
    <w:rsid w:val="007F444F"/>
    <w:rsid w:val="007F4EEC"/>
    <w:rsid w:val="0080103B"/>
    <w:rsid w:val="00806853"/>
    <w:rsid w:val="008111CC"/>
    <w:rsid w:val="0081242C"/>
    <w:rsid w:val="00847BAF"/>
    <w:rsid w:val="00857D6B"/>
    <w:rsid w:val="00864656"/>
    <w:rsid w:val="00870B44"/>
    <w:rsid w:val="0087131F"/>
    <w:rsid w:val="00873B59"/>
    <w:rsid w:val="008756E8"/>
    <w:rsid w:val="00881E57"/>
    <w:rsid w:val="008821F9"/>
    <w:rsid w:val="00886D2A"/>
    <w:rsid w:val="00897886"/>
    <w:rsid w:val="008A14C6"/>
    <w:rsid w:val="008B03E6"/>
    <w:rsid w:val="008C7F59"/>
    <w:rsid w:val="008E296D"/>
    <w:rsid w:val="00920A21"/>
    <w:rsid w:val="00924FE5"/>
    <w:rsid w:val="00925885"/>
    <w:rsid w:val="009322F0"/>
    <w:rsid w:val="009516FB"/>
    <w:rsid w:val="00980C97"/>
    <w:rsid w:val="009837E4"/>
    <w:rsid w:val="00983CC0"/>
    <w:rsid w:val="00990BAD"/>
    <w:rsid w:val="0099695C"/>
    <w:rsid w:val="009A5E71"/>
    <w:rsid w:val="009A716D"/>
    <w:rsid w:val="009A7FE9"/>
    <w:rsid w:val="009B25D5"/>
    <w:rsid w:val="009C4E16"/>
    <w:rsid w:val="009E1BCF"/>
    <w:rsid w:val="00A03475"/>
    <w:rsid w:val="00A10A42"/>
    <w:rsid w:val="00A367AD"/>
    <w:rsid w:val="00A54A69"/>
    <w:rsid w:val="00A731C9"/>
    <w:rsid w:val="00A770CD"/>
    <w:rsid w:val="00A775BA"/>
    <w:rsid w:val="00A81DA4"/>
    <w:rsid w:val="00A82B32"/>
    <w:rsid w:val="00A84002"/>
    <w:rsid w:val="00A8721F"/>
    <w:rsid w:val="00A97370"/>
    <w:rsid w:val="00AB217B"/>
    <w:rsid w:val="00AC28C6"/>
    <w:rsid w:val="00AC6A22"/>
    <w:rsid w:val="00AD2397"/>
    <w:rsid w:val="00AD5A87"/>
    <w:rsid w:val="00AE3AA2"/>
    <w:rsid w:val="00AF302A"/>
    <w:rsid w:val="00B01B28"/>
    <w:rsid w:val="00B11197"/>
    <w:rsid w:val="00B1548D"/>
    <w:rsid w:val="00B34E2E"/>
    <w:rsid w:val="00B355D2"/>
    <w:rsid w:val="00B35870"/>
    <w:rsid w:val="00B440A3"/>
    <w:rsid w:val="00B52D08"/>
    <w:rsid w:val="00B532FB"/>
    <w:rsid w:val="00B623E9"/>
    <w:rsid w:val="00B66E90"/>
    <w:rsid w:val="00B71928"/>
    <w:rsid w:val="00B819BC"/>
    <w:rsid w:val="00BA5444"/>
    <w:rsid w:val="00C012BB"/>
    <w:rsid w:val="00C02DF2"/>
    <w:rsid w:val="00C0564A"/>
    <w:rsid w:val="00C12A79"/>
    <w:rsid w:val="00C15E43"/>
    <w:rsid w:val="00C1691D"/>
    <w:rsid w:val="00C40D53"/>
    <w:rsid w:val="00C417A3"/>
    <w:rsid w:val="00C5176C"/>
    <w:rsid w:val="00C52445"/>
    <w:rsid w:val="00C53A07"/>
    <w:rsid w:val="00C721DB"/>
    <w:rsid w:val="00C83BE8"/>
    <w:rsid w:val="00C950B3"/>
    <w:rsid w:val="00CA0305"/>
    <w:rsid w:val="00CA2872"/>
    <w:rsid w:val="00CD1AC9"/>
    <w:rsid w:val="00CE1A73"/>
    <w:rsid w:val="00CF22C2"/>
    <w:rsid w:val="00D1188B"/>
    <w:rsid w:val="00D25AD2"/>
    <w:rsid w:val="00D311E0"/>
    <w:rsid w:val="00D42123"/>
    <w:rsid w:val="00DB2422"/>
    <w:rsid w:val="00DC082C"/>
    <w:rsid w:val="00DC094A"/>
    <w:rsid w:val="00DC5948"/>
    <w:rsid w:val="00DD0103"/>
    <w:rsid w:val="00DD3ABC"/>
    <w:rsid w:val="00DF483C"/>
    <w:rsid w:val="00E02279"/>
    <w:rsid w:val="00E11D08"/>
    <w:rsid w:val="00E13DD7"/>
    <w:rsid w:val="00E60521"/>
    <w:rsid w:val="00E60F45"/>
    <w:rsid w:val="00E80D83"/>
    <w:rsid w:val="00EC5CB5"/>
    <w:rsid w:val="00F02739"/>
    <w:rsid w:val="00F059BB"/>
    <w:rsid w:val="00F2538A"/>
    <w:rsid w:val="00F26D48"/>
    <w:rsid w:val="00F443AC"/>
    <w:rsid w:val="00F507E6"/>
    <w:rsid w:val="00F55547"/>
    <w:rsid w:val="00F6705E"/>
    <w:rsid w:val="00F7041B"/>
    <w:rsid w:val="00F76BD4"/>
    <w:rsid w:val="00F970CC"/>
    <w:rsid w:val="00FA16B3"/>
    <w:rsid w:val="00FC005D"/>
    <w:rsid w:val="00FD3FF3"/>
    <w:rsid w:val="00FD690C"/>
    <w:rsid w:val="00FF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B2"/>
    <w:rPr>
      <w:rFonts w:eastAsiaTheme="minorEastAsia"/>
    </w:rPr>
  </w:style>
  <w:style w:type="paragraph" w:styleId="Heading4">
    <w:name w:val="heading 4"/>
    <w:basedOn w:val="Normal"/>
    <w:link w:val="Heading4Char"/>
    <w:uiPriority w:val="9"/>
    <w:qFormat/>
    <w:rsid w:val="007E5A30"/>
    <w:pPr>
      <w:spacing w:before="75" w:after="75"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0B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0B2"/>
    <w:rPr>
      <w:color w:val="0000FF" w:themeColor="hyperlink"/>
      <w:u w:val="single"/>
    </w:rPr>
  </w:style>
  <w:style w:type="character" w:customStyle="1" w:styleId="h31">
    <w:name w:val="h31"/>
    <w:basedOn w:val="DefaultParagraphFont"/>
    <w:rsid w:val="00DB2422"/>
    <w:rPr>
      <w:rFonts w:ascii="Arial Black" w:hAnsi="Arial Black" w:hint="default"/>
      <w:b w:val="0"/>
      <w:bCs w:val="0"/>
      <w:color w:val="000000"/>
      <w:sz w:val="24"/>
      <w:szCs w:val="24"/>
    </w:rPr>
  </w:style>
  <w:style w:type="paragraph" w:styleId="NormalWeb">
    <w:name w:val="Normal (Web)"/>
    <w:basedOn w:val="Normal"/>
    <w:uiPriority w:val="99"/>
    <w:unhideWhenUsed/>
    <w:rsid w:val="00F5554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B1A12"/>
    <w:rPr>
      <w:color w:val="800080" w:themeColor="followedHyperlink"/>
      <w:u w:val="single"/>
    </w:rPr>
  </w:style>
  <w:style w:type="character" w:styleId="Strong">
    <w:name w:val="Strong"/>
    <w:basedOn w:val="DefaultParagraphFont"/>
    <w:uiPriority w:val="22"/>
    <w:qFormat/>
    <w:rsid w:val="00F02739"/>
    <w:rPr>
      <w:b/>
      <w:bCs/>
    </w:rPr>
  </w:style>
  <w:style w:type="paragraph" w:styleId="BalloonText">
    <w:name w:val="Balloon Text"/>
    <w:basedOn w:val="Normal"/>
    <w:link w:val="BalloonTextChar"/>
    <w:uiPriority w:val="99"/>
    <w:semiHidden/>
    <w:unhideWhenUsed/>
    <w:rsid w:val="00951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6FB"/>
    <w:rPr>
      <w:rFonts w:ascii="Tahoma" w:eastAsiaTheme="minorEastAsia" w:hAnsi="Tahoma" w:cs="Tahoma"/>
      <w:sz w:val="16"/>
      <w:szCs w:val="16"/>
    </w:rPr>
  </w:style>
  <w:style w:type="paragraph" w:styleId="Header">
    <w:name w:val="header"/>
    <w:basedOn w:val="Normal"/>
    <w:link w:val="HeaderChar"/>
    <w:uiPriority w:val="99"/>
    <w:unhideWhenUsed/>
    <w:rsid w:val="00951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6FB"/>
    <w:rPr>
      <w:rFonts w:eastAsiaTheme="minorEastAsia"/>
    </w:rPr>
  </w:style>
  <w:style w:type="paragraph" w:styleId="Footer">
    <w:name w:val="footer"/>
    <w:basedOn w:val="Normal"/>
    <w:link w:val="FooterChar"/>
    <w:uiPriority w:val="99"/>
    <w:unhideWhenUsed/>
    <w:rsid w:val="00951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6FB"/>
    <w:rPr>
      <w:rFonts w:eastAsiaTheme="minorEastAsia"/>
    </w:rPr>
  </w:style>
  <w:style w:type="character" w:customStyle="1" w:styleId="volume">
    <w:name w:val="volume"/>
    <w:basedOn w:val="DefaultParagraphFont"/>
    <w:rsid w:val="00C1691D"/>
  </w:style>
  <w:style w:type="character" w:customStyle="1" w:styleId="page">
    <w:name w:val="page"/>
    <w:basedOn w:val="DefaultParagraphFont"/>
    <w:rsid w:val="00C1691D"/>
  </w:style>
  <w:style w:type="paragraph" w:styleId="ListParagraph">
    <w:name w:val="List Paragraph"/>
    <w:basedOn w:val="Normal"/>
    <w:uiPriority w:val="34"/>
    <w:qFormat/>
    <w:rsid w:val="00356321"/>
    <w:pPr>
      <w:ind w:left="720"/>
      <w:contextualSpacing/>
    </w:pPr>
  </w:style>
  <w:style w:type="character" w:styleId="CommentReference">
    <w:name w:val="annotation reference"/>
    <w:basedOn w:val="DefaultParagraphFont"/>
    <w:uiPriority w:val="99"/>
    <w:semiHidden/>
    <w:unhideWhenUsed/>
    <w:rsid w:val="00C950B3"/>
    <w:rPr>
      <w:sz w:val="16"/>
      <w:szCs w:val="16"/>
    </w:rPr>
  </w:style>
  <w:style w:type="paragraph" w:styleId="CommentText">
    <w:name w:val="annotation text"/>
    <w:basedOn w:val="Normal"/>
    <w:link w:val="CommentTextChar"/>
    <w:uiPriority w:val="99"/>
    <w:semiHidden/>
    <w:unhideWhenUsed/>
    <w:rsid w:val="00C950B3"/>
    <w:pPr>
      <w:spacing w:line="240" w:lineRule="auto"/>
    </w:pPr>
    <w:rPr>
      <w:sz w:val="20"/>
      <w:szCs w:val="20"/>
    </w:rPr>
  </w:style>
  <w:style w:type="character" w:customStyle="1" w:styleId="CommentTextChar">
    <w:name w:val="Comment Text Char"/>
    <w:basedOn w:val="DefaultParagraphFont"/>
    <w:link w:val="CommentText"/>
    <w:uiPriority w:val="99"/>
    <w:semiHidden/>
    <w:rsid w:val="00C950B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950B3"/>
    <w:rPr>
      <w:b/>
      <w:bCs/>
    </w:rPr>
  </w:style>
  <w:style w:type="character" w:customStyle="1" w:styleId="CommentSubjectChar">
    <w:name w:val="Comment Subject Char"/>
    <w:basedOn w:val="CommentTextChar"/>
    <w:link w:val="CommentSubject"/>
    <w:uiPriority w:val="99"/>
    <w:semiHidden/>
    <w:rsid w:val="00C950B3"/>
    <w:rPr>
      <w:rFonts w:eastAsiaTheme="minorEastAsia"/>
      <w:b/>
      <w:bCs/>
      <w:sz w:val="20"/>
      <w:szCs w:val="20"/>
    </w:rPr>
  </w:style>
  <w:style w:type="character" w:customStyle="1" w:styleId="apple-converted-space">
    <w:name w:val="apple-converted-space"/>
    <w:basedOn w:val="DefaultParagraphFont"/>
    <w:rsid w:val="007761FF"/>
  </w:style>
  <w:style w:type="character" w:customStyle="1" w:styleId="Heading4Char">
    <w:name w:val="Heading 4 Char"/>
    <w:basedOn w:val="DefaultParagraphFont"/>
    <w:link w:val="Heading4"/>
    <w:uiPriority w:val="9"/>
    <w:rsid w:val="007E5A30"/>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B2"/>
    <w:rPr>
      <w:rFonts w:eastAsiaTheme="minorEastAsia"/>
    </w:rPr>
  </w:style>
  <w:style w:type="paragraph" w:styleId="Heading4">
    <w:name w:val="heading 4"/>
    <w:basedOn w:val="Normal"/>
    <w:link w:val="Heading4Char"/>
    <w:uiPriority w:val="9"/>
    <w:qFormat/>
    <w:rsid w:val="007E5A30"/>
    <w:pPr>
      <w:spacing w:before="75" w:after="75"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0B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0B2"/>
    <w:rPr>
      <w:color w:val="0000FF" w:themeColor="hyperlink"/>
      <w:u w:val="single"/>
    </w:rPr>
  </w:style>
  <w:style w:type="character" w:customStyle="1" w:styleId="h31">
    <w:name w:val="h31"/>
    <w:basedOn w:val="DefaultParagraphFont"/>
    <w:rsid w:val="00DB2422"/>
    <w:rPr>
      <w:rFonts w:ascii="Arial Black" w:hAnsi="Arial Black" w:hint="default"/>
      <w:b w:val="0"/>
      <w:bCs w:val="0"/>
      <w:color w:val="000000"/>
      <w:sz w:val="24"/>
      <w:szCs w:val="24"/>
    </w:rPr>
  </w:style>
  <w:style w:type="paragraph" w:styleId="NormalWeb">
    <w:name w:val="Normal (Web)"/>
    <w:basedOn w:val="Normal"/>
    <w:uiPriority w:val="99"/>
    <w:unhideWhenUsed/>
    <w:rsid w:val="00F5554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B1A12"/>
    <w:rPr>
      <w:color w:val="800080" w:themeColor="followedHyperlink"/>
      <w:u w:val="single"/>
    </w:rPr>
  </w:style>
  <w:style w:type="character" w:styleId="Strong">
    <w:name w:val="Strong"/>
    <w:basedOn w:val="DefaultParagraphFont"/>
    <w:uiPriority w:val="22"/>
    <w:qFormat/>
    <w:rsid w:val="00F02739"/>
    <w:rPr>
      <w:b/>
      <w:bCs/>
    </w:rPr>
  </w:style>
  <w:style w:type="paragraph" w:styleId="BalloonText">
    <w:name w:val="Balloon Text"/>
    <w:basedOn w:val="Normal"/>
    <w:link w:val="BalloonTextChar"/>
    <w:uiPriority w:val="99"/>
    <w:semiHidden/>
    <w:unhideWhenUsed/>
    <w:rsid w:val="00951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6FB"/>
    <w:rPr>
      <w:rFonts w:ascii="Tahoma" w:eastAsiaTheme="minorEastAsia" w:hAnsi="Tahoma" w:cs="Tahoma"/>
      <w:sz w:val="16"/>
      <w:szCs w:val="16"/>
    </w:rPr>
  </w:style>
  <w:style w:type="paragraph" w:styleId="Header">
    <w:name w:val="header"/>
    <w:basedOn w:val="Normal"/>
    <w:link w:val="HeaderChar"/>
    <w:uiPriority w:val="99"/>
    <w:unhideWhenUsed/>
    <w:rsid w:val="00951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6FB"/>
    <w:rPr>
      <w:rFonts w:eastAsiaTheme="minorEastAsia"/>
    </w:rPr>
  </w:style>
  <w:style w:type="paragraph" w:styleId="Footer">
    <w:name w:val="footer"/>
    <w:basedOn w:val="Normal"/>
    <w:link w:val="FooterChar"/>
    <w:uiPriority w:val="99"/>
    <w:unhideWhenUsed/>
    <w:rsid w:val="00951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6FB"/>
    <w:rPr>
      <w:rFonts w:eastAsiaTheme="minorEastAsia"/>
    </w:rPr>
  </w:style>
  <w:style w:type="character" w:customStyle="1" w:styleId="volume">
    <w:name w:val="volume"/>
    <w:basedOn w:val="DefaultParagraphFont"/>
    <w:rsid w:val="00C1691D"/>
  </w:style>
  <w:style w:type="character" w:customStyle="1" w:styleId="page">
    <w:name w:val="page"/>
    <w:basedOn w:val="DefaultParagraphFont"/>
    <w:rsid w:val="00C1691D"/>
  </w:style>
  <w:style w:type="paragraph" w:styleId="ListParagraph">
    <w:name w:val="List Paragraph"/>
    <w:basedOn w:val="Normal"/>
    <w:uiPriority w:val="34"/>
    <w:qFormat/>
    <w:rsid w:val="00356321"/>
    <w:pPr>
      <w:ind w:left="720"/>
      <w:contextualSpacing/>
    </w:pPr>
  </w:style>
  <w:style w:type="character" w:styleId="CommentReference">
    <w:name w:val="annotation reference"/>
    <w:basedOn w:val="DefaultParagraphFont"/>
    <w:uiPriority w:val="99"/>
    <w:semiHidden/>
    <w:unhideWhenUsed/>
    <w:rsid w:val="00C950B3"/>
    <w:rPr>
      <w:sz w:val="16"/>
      <w:szCs w:val="16"/>
    </w:rPr>
  </w:style>
  <w:style w:type="paragraph" w:styleId="CommentText">
    <w:name w:val="annotation text"/>
    <w:basedOn w:val="Normal"/>
    <w:link w:val="CommentTextChar"/>
    <w:uiPriority w:val="99"/>
    <w:semiHidden/>
    <w:unhideWhenUsed/>
    <w:rsid w:val="00C950B3"/>
    <w:pPr>
      <w:spacing w:line="240" w:lineRule="auto"/>
    </w:pPr>
    <w:rPr>
      <w:sz w:val="20"/>
      <w:szCs w:val="20"/>
    </w:rPr>
  </w:style>
  <w:style w:type="character" w:customStyle="1" w:styleId="CommentTextChar">
    <w:name w:val="Comment Text Char"/>
    <w:basedOn w:val="DefaultParagraphFont"/>
    <w:link w:val="CommentText"/>
    <w:uiPriority w:val="99"/>
    <w:semiHidden/>
    <w:rsid w:val="00C950B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950B3"/>
    <w:rPr>
      <w:b/>
      <w:bCs/>
    </w:rPr>
  </w:style>
  <w:style w:type="character" w:customStyle="1" w:styleId="CommentSubjectChar">
    <w:name w:val="Comment Subject Char"/>
    <w:basedOn w:val="CommentTextChar"/>
    <w:link w:val="CommentSubject"/>
    <w:uiPriority w:val="99"/>
    <w:semiHidden/>
    <w:rsid w:val="00C950B3"/>
    <w:rPr>
      <w:rFonts w:eastAsiaTheme="minorEastAsia"/>
      <w:b/>
      <w:bCs/>
      <w:sz w:val="20"/>
      <w:szCs w:val="20"/>
    </w:rPr>
  </w:style>
  <w:style w:type="character" w:customStyle="1" w:styleId="apple-converted-space">
    <w:name w:val="apple-converted-space"/>
    <w:basedOn w:val="DefaultParagraphFont"/>
    <w:rsid w:val="007761FF"/>
  </w:style>
  <w:style w:type="character" w:customStyle="1" w:styleId="Heading4Char">
    <w:name w:val="Heading 4 Char"/>
    <w:basedOn w:val="DefaultParagraphFont"/>
    <w:link w:val="Heading4"/>
    <w:uiPriority w:val="9"/>
    <w:rsid w:val="007E5A3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6040">
      <w:bodyDiv w:val="1"/>
      <w:marLeft w:val="0"/>
      <w:marRight w:val="0"/>
      <w:marTop w:val="0"/>
      <w:marBottom w:val="0"/>
      <w:divBdr>
        <w:top w:val="none" w:sz="0" w:space="0" w:color="auto"/>
        <w:left w:val="none" w:sz="0" w:space="0" w:color="auto"/>
        <w:bottom w:val="none" w:sz="0" w:space="0" w:color="auto"/>
        <w:right w:val="none" w:sz="0" w:space="0" w:color="auto"/>
      </w:divBdr>
    </w:div>
    <w:div w:id="12817193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331">
          <w:marLeft w:val="0"/>
          <w:marRight w:val="0"/>
          <w:marTop w:val="0"/>
          <w:marBottom w:val="0"/>
          <w:divBdr>
            <w:top w:val="none" w:sz="0" w:space="0" w:color="auto"/>
            <w:left w:val="none" w:sz="0" w:space="0" w:color="auto"/>
            <w:bottom w:val="none" w:sz="0" w:space="0" w:color="auto"/>
            <w:right w:val="none" w:sz="0" w:space="0" w:color="auto"/>
          </w:divBdr>
          <w:divsChild>
            <w:div w:id="2032880664">
              <w:marLeft w:val="0"/>
              <w:marRight w:val="0"/>
              <w:marTop w:val="0"/>
              <w:marBottom w:val="0"/>
              <w:divBdr>
                <w:top w:val="none" w:sz="0" w:space="0" w:color="auto"/>
                <w:left w:val="none" w:sz="0" w:space="0" w:color="auto"/>
                <w:bottom w:val="none" w:sz="0" w:space="0" w:color="auto"/>
                <w:right w:val="none" w:sz="0" w:space="0" w:color="auto"/>
              </w:divBdr>
              <w:divsChild>
                <w:div w:id="178088457">
                  <w:marLeft w:val="0"/>
                  <w:marRight w:val="0"/>
                  <w:marTop w:val="0"/>
                  <w:marBottom w:val="0"/>
                  <w:divBdr>
                    <w:top w:val="none" w:sz="0" w:space="0" w:color="auto"/>
                    <w:left w:val="none" w:sz="0" w:space="0" w:color="auto"/>
                    <w:bottom w:val="none" w:sz="0" w:space="0" w:color="auto"/>
                    <w:right w:val="none" w:sz="0" w:space="0" w:color="auto"/>
                  </w:divBdr>
                  <w:divsChild>
                    <w:div w:id="606960972">
                      <w:marLeft w:val="0"/>
                      <w:marRight w:val="0"/>
                      <w:marTop w:val="0"/>
                      <w:marBottom w:val="0"/>
                      <w:divBdr>
                        <w:top w:val="none" w:sz="0" w:space="0" w:color="auto"/>
                        <w:left w:val="none" w:sz="0" w:space="0" w:color="auto"/>
                        <w:bottom w:val="none" w:sz="0" w:space="0" w:color="auto"/>
                        <w:right w:val="none" w:sz="0" w:space="0" w:color="auto"/>
                      </w:divBdr>
                      <w:divsChild>
                        <w:div w:id="1576553154">
                          <w:marLeft w:val="0"/>
                          <w:marRight w:val="0"/>
                          <w:marTop w:val="0"/>
                          <w:marBottom w:val="0"/>
                          <w:divBdr>
                            <w:top w:val="none" w:sz="0" w:space="0" w:color="auto"/>
                            <w:left w:val="none" w:sz="0" w:space="0" w:color="auto"/>
                            <w:bottom w:val="none" w:sz="0" w:space="0" w:color="auto"/>
                            <w:right w:val="none" w:sz="0" w:space="0" w:color="auto"/>
                          </w:divBdr>
                          <w:divsChild>
                            <w:div w:id="1304117915">
                              <w:marLeft w:val="0"/>
                              <w:marRight w:val="0"/>
                              <w:marTop w:val="0"/>
                              <w:marBottom w:val="0"/>
                              <w:divBdr>
                                <w:top w:val="none" w:sz="0" w:space="0" w:color="auto"/>
                                <w:left w:val="none" w:sz="0" w:space="0" w:color="auto"/>
                                <w:bottom w:val="none" w:sz="0" w:space="0" w:color="auto"/>
                                <w:right w:val="none" w:sz="0" w:space="0" w:color="auto"/>
                              </w:divBdr>
                              <w:divsChild>
                                <w:div w:id="309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423611">
      <w:bodyDiv w:val="1"/>
      <w:marLeft w:val="0"/>
      <w:marRight w:val="0"/>
      <w:marTop w:val="0"/>
      <w:marBottom w:val="0"/>
      <w:divBdr>
        <w:top w:val="none" w:sz="0" w:space="0" w:color="auto"/>
        <w:left w:val="none" w:sz="0" w:space="0" w:color="auto"/>
        <w:bottom w:val="none" w:sz="0" w:space="0" w:color="auto"/>
        <w:right w:val="none" w:sz="0" w:space="0" w:color="auto"/>
      </w:divBdr>
      <w:divsChild>
        <w:div w:id="395981390">
          <w:marLeft w:val="0"/>
          <w:marRight w:val="0"/>
          <w:marTop w:val="0"/>
          <w:marBottom w:val="0"/>
          <w:divBdr>
            <w:top w:val="none" w:sz="0" w:space="0" w:color="auto"/>
            <w:left w:val="none" w:sz="0" w:space="0" w:color="auto"/>
            <w:bottom w:val="none" w:sz="0" w:space="0" w:color="auto"/>
            <w:right w:val="none" w:sz="0" w:space="0" w:color="auto"/>
          </w:divBdr>
          <w:divsChild>
            <w:div w:id="1714187619">
              <w:marLeft w:val="0"/>
              <w:marRight w:val="0"/>
              <w:marTop w:val="0"/>
              <w:marBottom w:val="0"/>
              <w:divBdr>
                <w:top w:val="none" w:sz="0" w:space="0" w:color="auto"/>
                <w:left w:val="none" w:sz="0" w:space="0" w:color="auto"/>
                <w:bottom w:val="none" w:sz="0" w:space="0" w:color="auto"/>
                <w:right w:val="none" w:sz="0" w:space="0" w:color="auto"/>
              </w:divBdr>
              <w:divsChild>
                <w:div w:id="950818791">
                  <w:marLeft w:val="0"/>
                  <w:marRight w:val="0"/>
                  <w:marTop w:val="0"/>
                  <w:marBottom w:val="0"/>
                  <w:divBdr>
                    <w:top w:val="none" w:sz="0" w:space="0" w:color="auto"/>
                    <w:left w:val="none" w:sz="0" w:space="0" w:color="auto"/>
                    <w:bottom w:val="none" w:sz="0" w:space="0" w:color="auto"/>
                    <w:right w:val="none" w:sz="0" w:space="0" w:color="auto"/>
                  </w:divBdr>
                  <w:divsChild>
                    <w:div w:id="974409441">
                      <w:marLeft w:val="0"/>
                      <w:marRight w:val="0"/>
                      <w:marTop w:val="0"/>
                      <w:marBottom w:val="0"/>
                      <w:divBdr>
                        <w:top w:val="none" w:sz="0" w:space="0" w:color="auto"/>
                        <w:left w:val="none" w:sz="0" w:space="0" w:color="auto"/>
                        <w:bottom w:val="none" w:sz="0" w:space="0" w:color="auto"/>
                        <w:right w:val="none" w:sz="0" w:space="0" w:color="auto"/>
                      </w:divBdr>
                      <w:divsChild>
                        <w:div w:id="290788251">
                          <w:marLeft w:val="0"/>
                          <w:marRight w:val="0"/>
                          <w:marTop w:val="0"/>
                          <w:marBottom w:val="0"/>
                          <w:divBdr>
                            <w:top w:val="none" w:sz="0" w:space="0" w:color="auto"/>
                            <w:left w:val="none" w:sz="0" w:space="0" w:color="auto"/>
                            <w:bottom w:val="none" w:sz="0" w:space="0" w:color="auto"/>
                            <w:right w:val="none" w:sz="0" w:space="0" w:color="auto"/>
                          </w:divBdr>
                          <w:divsChild>
                            <w:div w:id="344748247">
                              <w:marLeft w:val="0"/>
                              <w:marRight w:val="0"/>
                              <w:marTop w:val="0"/>
                              <w:marBottom w:val="0"/>
                              <w:divBdr>
                                <w:top w:val="none" w:sz="0" w:space="0" w:color="auto"/>
                                <w:left w:val="none" w:sz="0" w:space="0" w:color="auto"/>
                                <w:bottom w:val="none" w:sz="0" w:space="0" w:color="auto"/>
                                <w:right w:val="none" w:sz="0" w:space="0" w:color="auto"/>
                              </w:divBdr>
                              <w:divsChild>
                                <w:div w:id="2030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269098">
      <w:bodyDiv w:val="1"/>
      <w:marLeft w:val="0"/>
      <w:marRight w:val="0"/>
      <w:marTop w:val="0"/>
      <w:marBottom w:val="0"/>
      <w:divBdr>
        <w:top w:val="none" w:sz="0" w:space="0" w:color="auto"/>
        <w:left w:val="none" w:sz="0" w:space="0" w:color="auto"/>
        <w:bottom w:val="none" w:sz="0" w:space="0" w:color="auto"/>
        <w:right w:val="none" w:sz="0" w:space="0" w:color="auto"/>
      </w:divBdr>
    </w:div>
    <w:div w:id="2126658609">
      <w:bodyDiv w:val="1"/>
      <w:marLeft w:val="0"/>
      <w:marRight w:val="0"/>
      <w:marTop w:val="0"/>
      <w:marBottom w:val="0"/>
      <w:divBdr>
        <w:top w:val="none" w:sz="0" w:space="0" w:color="auto"/>
        <w:left w:val="none" w:sz="0" w:space="0" w:color="auto"/>
        <w:bottom w:val="none" w:sz="0" w:space="0" w:color="auto"/>
        <w:right w:val="none" w:sz="0" w:space="0" w:color="auto"/>
      </w:divBdr>
      <w:divsChild>
        <w:div w:id="32313562">
          <w:marLeft w:val="0"/>
          <w:marRight w:val="0"/>
          <w:marTop w:val="0"/>
          <w:marBottom w:val="0"/>
          <w:divBdr>
            <w:top w:val="none" w:sz="0" w:space="0" w:color="auto"/>
            <w:left w:val="none" w:sz="0" w:space="0" w:color="auto"/>
            <w:bottom w:val="none" w:sz="0" w:space="0" w:color="auto"/>
            <w:right w:val="none" w:sz="0" w:space="0" w:color="auto"/>
          </w:divBdr>
          <w:divsChild>
            <w:div w:id="1189754370">
              <w:marLeft w:val="0"/>
              <w:marRight w:val="0"/>
              <w:marTop w:val="0"/>
              <w:marBottom w:val="0"/>
              <w:divBdr>
                <w:top w:val="none" w:sz="0" w:space="0" w:color="auto"/>
                <w:left w:val="none" w:sz="0" w:space="0" w:color="auto"/>
                <w:bottom w:val="none" w:sz="0" w:space="0" w:color="auto"/>
                <w:right w:val="none" w:sz="0" w:space="0" w:color="auto"/>
              </w:divBdr>
              <w:divsChild>
                <w:div w:id="1180894927">
                  <w:marLeft w:val="0"/>
                  <w:marRight w:val="0"/>
                  <w:marTop w:val="0"/>
                  <w:marBottom w:val="0"/>
                  <w:divBdr>
                    <w:top w:val="none" w:sz="0" w:space="12" w:color="auto"/>
                    <w:left w:val="none" w:sz="0" w:space="12" w:color="auto"/>
                    <w:bottom w:val="none" w:sz="0" w:space="12" w:color="auto"/>
                    <w:right w:val="none" w:sz="0" w:space="12" w:color="auto"/>
                  </w:divBdr>
                  <w:divsChild>
                    <w:div w:id="959186276">
                      <w:marLeft w:val="0"/>
                      <w:marRight w:val="0"/>
                      <w:marTop w:val="0"/>
                      <w:marBottom w:val="0"/>
                      <w:divBdr>
                        <w:top w:val="none" w:sz="0" w:space="12" w:color="auto"/>
                        <w:left w:val="none" w:sz="0" w:space="12" w:color="auto"/>
                        <w:bottom w:val="none" w:sz="0" w:space="12" w:color="auto"/>
                        <w:right w:val="none" w:sz="0" w:space="12" w:color="auto"/>
                      </w:divBdr>
                      <w:divsChild>
                        <w:div w:id="2033023296">
                          <w:marLeft w:val="0"/>
                          <w:marRight w:val="0"/>
                          <w:marTop w:val="0"/>
                          <w:marBottom w:val="0"/>
                          <w:divBdr>
                            <w:top w:val="none" w:sz="0" w:space="0" w:color="auto"/>
                            <w:left w:val="none" w:sz="0" w:space="0" w:color="auto"/>
                            <w:bottom w:val="none" w:sz="0" w:space="0" w:color="auto"/>
                            <w:right w:val="none" w:sz="0" w:space="0" w:color="auto"/>
                          </w:divBdr>
                          <w:divsChild>
                            <w:div w:id="1735010346">
                              <w:marLeft w:val="-225"/>
                              <w:marRight w:val="-225"/>
                              <w:marTop w:val="0"/>
                              <w:marBottom w:val="0"/>
                              <w:divBdr>
                                <w:top w:val="none" w:sz="0" w:space="0" w:color="auto"/>
                                <w:left w:val="none" w:sz="0" w:space="0" w:color="auto"/>
                                <w:bottom w:val="none" w:sz="0" w:space="0" w:color="auto"/>
                                <w:right w:val="none" w:sz="0" w:space="0" w:color="auto"/>
                              </w:divBdr>
                              <w:divsChild>
                                <w:div w:id="182405104">
                                  <w:marLeft w:val="0"/>
                                  <w:marRight w:val="0"/>
                                  <w:marTop w:val="0"/>
                                  <w:marBottom w:val="0"/>
                                  <w:divBdr>
                                    <w:top w:val="none" w:sz="0" w:space="0" w:color="auto"/>
                                    <w:left w:val="none" w:sz="0" w:space="0" w:color="auto"/>
                                    <w:bottom w:val="none" w:sz="0" w:space="0" w:color="auto"/>
                                    <w:right w:val="none" w:sz="0" w:space="0" w:color="auto"/>
                                  </w:divBdr>
                                  <w:divsChild>
                                    <w:div w:id="1836257868">
                                      <w:marLeft w:val="0"/>
                                      <w:marRight w:val="0"/>
                                      <w:marTop w:val="0"/>
                                      <w:marBottom w:val="0"/>
                                      <w:divBdr>
                                        <w:top w:val="none" w:sz="0" w:space="0" w:color="auto"/>
                                        <w:left w:val="none" w:sz="0" w:space="0" w:color="auto"/>
                                        <w:bottom w:val="none" w:sz="0" w:space="0" w:color="auto"/>
                                        <w:right w:val="none" w:sz="0" w:space="0" w:color="auto"/>
                                      </w:divBdr>
                                      <w:divsChild>
                                        <w:div w:id="788091041">
                                          <w:marLeft w:val="-225"/>
                                          <w:marRight w:val="-225"/>
                                          <w:marTop w:val="0"/>
                                          <w:marBottom w:val="0"/>
                                          <w:divBdr>
                                            <w:top w:val="none" w:sz="0" w:space="0" w:color="auto"/>
                                            <w:left w:val="none" w:sz="0" w:space="0" w:color="auto"/>
                                            <w:bottom w:val="none" w:sz="0" w:space="0" w:color="auto"/>
                                            <w:right w:val="none" w:sz="0" w:space="0" w:color="auto"/>
                                          </w:divBdr>
                                          <w:divsChild>
                                            <w:div w:id="897203052">
                                              <w:marLeft w:val="0"/>
                                              <w:marRight w:val="0"/>
                                              <w:marTop w:val="0"/>
                                              <w:marBottom w:val="0"/>
                                              <w:divBdr>
                                                <w:top w:val="none" w:sz="0" w:space="0" w:color="auto"/>
                                                <w:left w:val="none" w:sz="0" w:space="0" w:color="auto"/>
                                                <w:bottom w:val="none" w:sz="0" w:space="0" w:color="auto"/>
                                                <w:right w:val="none" w:sz="0" w:space="0" w:color="auto"/>
                                              </w:divBdr>
                                            </w:div>
                                          </w:divsChild>
                                        </w:div>
                                        <w:div w:id="1565870029">
                                          <w:marLeft w:val="-225"/>
                                          <w:marRight w:val="-225"/>
                                          <w:marTop w:val="0"/>
                                          <w:marBottom w:val="0"/>
                                          <w:divBdr>
                                            <w:top w:val="none" w:sz="0" w:space="0" w:color="auto"/>
                                            <w:left w:val="none" w:sz="0" w:space="0" w:color="auto"/>
                                            <w:bottom w:val="none" w:sz="0" w:space="0" w:color="auto"/>
                                            <w:right w:val="none" w:sz="0" w:space="0" w:color="auto"/>
                                          </w:divBdr>
                                          <w:divsChild>
                                            <w:div w:id="1264414173">
                                              <w:marLeft w:val="0"/>
                                              <w:marRight w:val="0"/>
                                              <w:marTop w:val="0"/>
                                              <w:marBottom w:val="0"/>
                                              <w:divBdr>
                                                <w:top w:val="none" w:sz="0" w:space="0" w:color="auto"/>
                                                <w:left w:val="none" w:sz="0" w:space="0" w:color="auto"/>
                                                <w:bottom w:val="none" w:sz="0" w:space="0" w:color="auto"/>
                                                <w:right w:val="none" w:sz="0" w:space="0" w:color="auto"/>
                                              </w:divBdr>
                                            </w:div>
                                          </w:divsChild>
                                        </w:div>
                                        <w:div w:id="74206983">
                                          <w:marLeft w:val="0"/>
                                          <w:marRight w:val="0"/>
                                          <w:marTop w:val="0"/>
                                          <w:marBottom w:val="0"/>
                                          <w:divBdr>
                                            <w:top w:val="none" w:sz="0" w:space="0" w:color="auto"/>
                                            <w:left w:val="none" w:sz="0" w:space="0" w:color="auto"/>
                                            <w:bottom w:val="none" w:sz="0" w:space="0" w:color="auto"/>
                                            <w:right w:val="none" w:sz="0" w:space="0" w:color="auto"/>
                                          </w:divBdr>
                                          <w:divsChild>
                                            <w:div w:id="230386878">
                                              <w:marLeft w:val="0"/>
                                              <w:marRight w:val="0"/>
                                              <w:marTop w:val="0"/>
                                              <w:marBottom w:val="0"/>
                                              <w:divBdr>
                                                <w:top w:val="none" w:sz="0" w:space="0" w:color="auto"/>
                                                <w:left w:val="none" w:sz="0" w:space="0" w:color="auto"/>
                                                <w:bottom w:val="none" w:sz="0" w:space="0" w:color="auto"/>
                                                <w:right w:val="none" w:sz="0" w:space="0" w:color="auto"/>
                                              </w:divBdr>
                                            </w:div>
                                            <w:div w:id="1309818712">
                                              <w:marLeft w:val="0"/>
                                              <w:marRight w:val="0"/>
                                              <w:marTop w:val="0"/>
                                              <w:marBottom w:val="0"/>
                                              <w:divBdr>
                                                <w:top w:val="none" w:sz="0" w:space="0" w:color="auto"/>
                                                <w:left w:val="none" w:sz="0" w:space="0" w:color="auto"/>
                                                <w:bottom w:val="none" w:sz="0" w:space="0" w:color="auto"/>
                                                <w:right w:val="none" w:sz="0" w:space="0" w:color="auto"/>
                                              </w:divBdr>
                                            </w:div>
                                            <w:div w:id="562762251">
                                              <w:marLeft w:val="0"/>
                                              <w:marRight w:val="0"/>
                                              <w:marTop w:val="0"/>
                                              <w:marBottom w:val="0"/>
                                              <w:divBdr>
                                                <w:top w:val="none" w:sz="0" w:space="0" w:color="auto"/>
                                                <w:left w:val="none" w:sz="0" w:space="0" w:color="auto"/>
                                                <w:bottom w:val="none" w:sz="0" w:space="0" w:color="auto"/>
                                                <w:right w:val="none" w:sz="0" w:space="0" w:color="auto"/>
                                              </w:divBdr>
                                            </w:div>
                                            <w:div w:id="860046223">
                                              <w:marLeft w:val="0"/>
                                              <w:marRight w:val="0"/>
                                              <w:marTop w:val="0"/>
                                              <w:marBottom w:val="0"/>
                                              <w:divBdr>
                                                <w:top w:val="none" w:sz="0" w:space="0" w:color="auto"/>
                                                <w:left w:val="none" w:sz="0" w:space="0" w:color="auto"/>
                                                <w:bottom w:val="none" w:sz="0" w:space="0" w:color="auto"/>
                                                <w:right w:val="none" w:sz="0" w:space="0" w:color="auto"/>
                                              </w:divBdr>
                                            </w:div>
                                            <w:div w:id="1308779988">
                                              <w:marLeft w:val="0"/>
                                              <w:marRight w:val="0"/>
                                              <w:marTop w:val="0"/>
                                              <w:marBottom w:val="0"/>
                                              <w:divBdr>
                                                <w:top w:val="none" w:sz="0" w:space="0" w:color="auto"/>
                                                <w:left w:val="none" w:sz="0" w:space="0" w:color="auto"/>
                                                <w:bottom w:val="none" w:sz="0" w:space="0" w:color="auto"/>
                                                <w:right w:val="none" w:sz="0" w:space="0" w:color="auto"/>
                                              </w:divBdr>
                                            </w:div>
                                            <w:div w:id="2029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a.visa.com/content/dam/VCOM/download/about-visa/visa-rules-public.pdf" TargetMode="External"/><Relationship Id="rId13" Type="http://schemas.openxmlformats.org/officeDocument/2006/relationships/hyperlink" Target="http://ithandbook.ffiec.gov/it-booklets/retail-payment-systems/appendix-e-mobile-financial-services.aspx" TargetMode="External"/><Relationship Id="rId18" Type="http://schemas.openxmlformats.org/officeDocument/2006/relationships/hyperlink" Target="https://nwcuc.com/fair-credit-reporting-act-disclosures-indirect-automobile-lendin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onsumerfinance.gov/about-us/newsroom/cfpb-unveils-student-loan-payback-playbook-provide-borrowers-personalized-snapshot-repayment-options/" TargetMode="External"/><Relationship Id="rId7" Type="http://schemas.openxmlformats.org/officeDocument/2006/relationships/endnotes" Target="endnotes.xml"/><Relationship Id="rId12" Type="http://schemas.openxmlformats.org/officeDocument/2006/relationships/hyperlink" Target="https://nwcuc.com/proposed-incentive-based-compensation-arrangements/" TargetMode="External"/><Relationship Id="rId17" Type="http://schemas.openxmlformats.org/officeDocument/2006/relationships/hyperlink" Target="https://www.fdic.gov/regulations/examinations/supervisory/insights/sise16/SI_SE2016.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nwcuc.com/quickies-41316/" TargetMode="External"/><Relationship Id="rId20" Type="http://schemas.openxmlformats.org/officeDocument/2006/relationships/hyperlink" Target="http://files.consumerfinance.gov/f/201604_cfpb_online-payday-loan-payment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ederalregister.gov/articles/2016/04/27/2016-09867/federal-credit-union-occupancy-planning-and-disposal-of-acquired-and-abandoned-premises-incidental?utm_campaign=subscription+mailing+list&amp;utm_medium=email&amp;utm_source=federalregister.go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cua.gov/services/Pages/small-credit-union-learning-center/Documents/serving-credit-invisibles.pdf" TargetMode="External"/><Relationship Id="rId23" Type="http://schemas.openxmlformats.org/officeDocument/2006/relationships/hyperlink" Target="http://www.aba.com/press/documents/CFPBLetterKBYO.pdf" TargetMode="External"/><Relationship Id="rId10" Type="http://schemas.openxmlformats.org/officeDocument/2006/relationships/hyperlink" Target="https://nwcuc.com/federal-credit-union-fixed-assets-proposal/" TargetMode="External"/><Relationship Id="rId19" Type="http://schemas.openxmlformats.org/officeDocument/2006/relationships/hyperlink" Target="http://www.dfi.wa.gov/sites/default/files/credit-unions/bulletins/b-16-04.pdf" TargetMode="External"/><Relationship Id="rId4" Type="http://schemas.openxmlformats.org/officeDocument/2006/relationships/settings" Target="settings.xml"/><Relationship Id="rId9" Type="http://schemas.openxmlformats.org/officeDocument/2006/relationships/hyperlink" Target="https://www.federalregister.gov/articles/2016/04/08/2016-07924/definition-of-the-term-fiduciary-conflict-of-interest-rule-retirement-investment-advice" TargetMode="External"/><Relationship Id="rId14" Type="http://schemas.openxmlformats.org/officeDocument/2006/relationships/hyperlink" Target="https://nwcuc.com/quickies-41316/" TargetMode="External"/><Relationship Id="rId22" Type="http://schemas.openxmlformats.org/officeDocument/2006/relationships/hyperlink" Target="https://www.federalregister.gov/articles/2016/04/26/2016-09695/amendments-to-the-2013-mortgage-servicing-rules-under-the-real-estate-settlement-procedures-ac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6</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NW Compliance Group</Company>
  <LinksUpToDate>false</LinksUpToDate>
  <CharactersWithSpaces>13242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McKinney</dc:creator>
  <cp:lastModifiedBy>Jim McKinney</cp:lastModifiedBy>
  <cp:revision>13</cp:revision>
  <cp:lastPrinted>2016-04-27T15:24:00Z</cp:lastPrinted>
  <dcterms:created xsi:type="dcterms:W3CDTF">2016-04-27T13:46:00Z</dcterms:created>
  <dcterms:modified xsi:type="dcterms:W3CDTF">2016-05-03T13:34:00Z</dcterms:modified>
</cp:coreProperties>
</file>