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53" w:rsidRDefault="00FC2953" w:rsidP="00C70DA7">
      <w:pPr>
        <w:jc w:val="center"/>
      </w:pPr>
      <w:r>
        <w:t>PART 1010-GENERAL PROVISIONS</w:t>
      </w:r>
    </w:p>
    <w:p w:rsidR="00FC2953" w:rsidRDefault="00FC2953" w:rsidP="00FC2953">
      <w:r>
        <w:t>1. The authority citation for part 1010 continues to read as follows:</w:t>
      </w:r>
    </w:p>
    <w:p w:rsidR="00FC2953" w:rsidRDefault="00FC2953" w:rsidP="00FC2953">
      <w:r>
        <w:t>Authority: 12 U.S.C. 1829b and 1951-1959; 31 U.S.C. 5311-5314 and 5316-5332; title</w:t>
      </w:r>
      <w:r w:rsidR="00C70DA7">
        <w:t xml:space="preserve"> </w:t>
      </w:r>
      <w:r>
        <w:t xml:space="preserve">III, sec. 314 Pub. </w:t>
      </w:r>
      <w:proofErr w:type="gramStart"/>
      <w:r>
        <w:t>L. 107-56, 115 Stat. 307.</w:t>
      </w:r>
      <w:proofErr w:type="gramEnd"/>
    </w:p>
    <w:p w:rsidR="00FC2953" w:rsidRDefault="00FC2953" w:rsidP="00FC2953">
      <w:r>
        <w:t>2. Add § 1010.230 to read as follows:</w:t>
      </w:r>
    </w:p>
    <w:p w:rsidR="00FC2953" w:rsidRPr="00A85B5E" w:rsidRDefault="00FC2953" w:rsidP="00A85B5E">
      <w:pPr>
        <w:spacing w:after="0" w:line="240" w:lineRule="auto"/>
        <w:rPr>
          <w:b/>
        </w:rPr>
      </w:pPr>
      <w:r w:rsidRPr="00A85B5E">
        <w:rPr>
          <w:b/>
        </w:rPr>
        <w:t xml:space="preserve">§ 1010.230 </w:t>
      </w:r>
      <w:proofErr w:type="gramStart"/>
      <w:r w:rsidRPr="00A85B5E">
        <w:rPr>
          <w:b/>
        </w:rPr>
        <w:t>Beneficial</w:t>
      </w:r>
      <w:proofErr w:type="gramEnd"/>
      <w:r w:rsidRPr="00A85B5E">
        <w:rPr>
          <w:b/>
        </w:rPr>
        <w:t xml:space="preserve"> ownership requirements for legal entity customers.</w:t>
      </w:r>
    </w:p>
    <w:p w:rsidR="00FC2953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In general</w:t>
      </w:r>
      <w:r w:rsidRPr="00A85B5E">
        <w:t>.</w:t>
      </w:r>
      <w:proofErr w:type="gramEnd"/>
      <w:r w:rsidRPr="00A85B5E">
        <w:t xml:space="preserve"> Covered financial institutions are required to establish and</w:t>
      </w:r>
      <w:r w:rsidR="003E4A2C" w:rsidRPr="00A85B5E">
        <w:t xml:space="preserve"> </w:t>
      </w:r>
      <w:r w:rsidRPr="00A85B5E">
        <w:t>maintain written procedures that are reasonably designed to identify and verify beneficial owners of legal entity customers and to include such</w:t>
      </w:r>
      <w:r w:rsidR="003E4A2C" w:rsidRPr="00A85B5E">
        <w:t xml:space="preserve"> </w:t>
      </w:r>
      <w:r w:rsidRPr="00A85B5E">
        <w:t xml:space="preserve">procedures in their anti-money laundering compliance program required </w:t>
      </w:r>
      <w:proofErr w:type="gramStart"/>
      <w:r w:rsidRPr="00A85B5E">
        <w:t>under</w:t>
      </w:r>
      <w:proofErr w:type="gramEnd"/>
      <w:r w:rsidR="003E4A2C" w:rsidRPr="00A85B5E">
        <w:t xml:space="preserve"> </w:t>
      </w:r>
      <w:r w:rsidRPr="00A85B5E">
        <w:t>31 U.S.C. 5318(h) and its implementing regulations.</w:t>
      </w:r>
    </w:p>
    <w:p w:rsidR="00A85B5E" w:rsidRPr="00A85B5E" w:rsidRDefault="00A85B5E" w:rsidP="00A85B5E">
      <w:pPr>
        <w:pStyle w:val="ListParagraph"/>
        <w:spacing w:after="0" w:line="240" w:lineRule="auto"/>
        <w:ind w:left="360"/>
      </w:pPr>
    </w:p>
    <w:p w:rsidR="00FC2953" w:rsidRPr="00A85B5E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Identification and verification</w:t>
      </w:r>
      <w:r w:rsidRPr="00A85B5E">
        <w:t>.</w:t>
      </w:r>
      <w:proofErr w:type="gramEnd"/>
      <w:r w:rsidRPr="00A85B5E">
        <w:t xml:space="preserve"> With respect to legal entity customers, the</w:t>
      </w:r>
      <w:r w:rsidR="003E4A2C" w:rsidRPr="00A85B5E">
        <w:t xml:space="preserve"> </w:t>
      </w:r>
      <w:r w:rsidRPr="00A85B5E">
        <w:t>covered financial institution’s customer due diligence procedures shall enable</w:t>
      </w:r>
      <w:r w:rsidR="003E4A2C" w:rsidRPr="00A85B5E">
        <w:t xml:space="preserve"> </w:t>
      </w:r>
      <w:r w:rsidRPr="00A85B5E">
        <w:t>the institution to:</w:t>
      </w:r>
    </w:p>
    <w:p w:rsidR="00FC2953" w:rsidRPr="00A85B5E" w:rsidRDefault="00FC2953" w:rsidP="00A85B5E">
      <w:pPr>
        <w:pStyle w:val="ListParagraph"/>
        <w:numPr>
          <w:ilvl w:val="0"/>
          <w:numId w:val="6"/>
        </w:numPr>
        <w:spacing w:after="0" w:line="240" w:lineRule="auto"/>
      </w:pPr>
      <w:r w:rsidRPr="00A85B5E">
        <w:t>Identify the beneficial owner(s) of each legal entity customer at the</w:t>
      </w:r>
      <w:r w:rsidR="003E4A2C" w:rsidRPr="00A85B5E">
        <w:t xml:space="preserve"> </w:t>
      </w:r>
      <w:r w:rsidRPr="00A85B5E">
        <w:t xml:space="preserve">time a new account </w:t>
      </w:r>
      <w:proofErr w:type="gramStart"/>
      <w:r w:rsidRPr="00A85B5E">
        <w:t>is opened</w:t>
      </w:r>
      <w:proofErr w:type="gramEnd"/>
      <w:r w:rsidRPr="00A85B5E">
        <w:t>, unless the customer is otherwise</w:t>
      </w:r>
      <w:r w:rsidR="003E4A2C" w:rsidRPr="00A85B5E">
        <w:t xml:space="preserve"> </w:t>
      </w:r>
      <w:r w:rsidRPr="00A85B5E">
        <w:t>excluded pursuant to paragraph (e) of this section or the account is</w:t>
      </w:r>
      <w:r w:rsidR="003E4A2C" w:rsidRPr="00A85B5E">
        <w:t xml:space="preserve"> </w:t>
      </w:r>
      <w:r w:rsidRPr="00A85B5E">
        <w:t>exempted pursuant to paragraph (h) of this section. A covered</w:t>
      </w:r>
      <w:r w:rsidR="003E4A2C" w:rsidRPr="00A85B5E">
        <w:t xml:space="preserve"> </w:t>
      </w:r>
      <w:r w:rsidRPr="00A85B5E">
        <w:t>financial institution may accomplish this either by obtaining a</w:t>
      </w:r>
      <w:r w:rsidR="003E4A2C" w:rsidRPr="00A85B5E">
        <w:t xml:space="preserve"> </w:t>
      </w:r>
      <w:r w:rsidRPr="00A85B5E">
        <w:t>certification in the form of appendix A of this section from the</w:t>
      </w:r>
      <w:r w:rsidR="003E4A2C" w:rsidRPr="00A85B5E">
        <w:t xml:space="preserve"> </w:t>
      </w:r>
      <w:r w:rsidRPr="00A85B5E">
        <w:t>individual opening the account on behalf of the legal entity customer,</w:t>
      </w:r>
      <w:r w:rsidR="003E4A2C" w:rsidRPr="00A85B5E">
        <w:t xml:space="preserve"> </w:t>
      </w:r>
      <w:r w:rsidRPr="00A85B5E">
        <w:t>or by obtaining from the individual the information required by the</w:t>
      </w:r>
      <w:r w:rsidR="003E4A2C" w:rsidRPr="00A85B5E">
        <w:t xml:space="preserve"> </w:t>
      </w:r>
      <w:r w:rsidRPr="00A85B5E">
        <w:t>form by another means, provided the individual certifies, to the best of</w:t>
      </w:r>
      <w:r w:rsidR="003E4A2C" w:rsidRPr="00A85B5E">
        <w:t xml:space="preserve"> </w:t>
      </w:r>
      <w:r w:rsidRPr="00A85B5E">
        <w:t>the individual’s knowledge, the accuracy of the information; and</w:t>
      </w:r>
    </w:p>
    <w:p w:rsidR="00FC2953" w:rsidRDefault="00FC2953" w:rsidP="00A85B5E">
      <w:pPr>
        <w:pStyle w:val="ListParagraph"/>
        <w:numPr>
          <w:ilvl w:val="0"/>
          <w:numId w:val="6"/>
        </w:numPr>
        <w:spacing w:after="0" w:line="240" w:lineRule="auto"/>
      </w:pPr>
      <w:r w:rsidRPr="00A85B5E">
        <w:t>Verify the identity of each beneficial owner identified to the covered</w:t>
      </w:r>
      <w:r w:rsidR="003E4A2C" w:rsidRPr="00A85B5E">
        <w:t xml:space="preserve"> </w:t>
      </w:r>
      <w:r w:rsidRPr="00A85B5E">
        <w:t>financial institution, according to risk-based procedures to the extent</w:t>
      </w:r>
      <w:r w:rsidR="003E4A2C" w:rsidRPr="00A85B5E">
        <w:t xml:space="preserve"> </w:t>
      </w:r>
      <w:r w:rsidRPr="00A85B5E">
        <w:t xml:space="preserve">reasonable and practicable. </w:t>
      </w:r>
      <w:proofErr w:type="gramStart"/>
      <w:r w:rsidRPr="00A85B5E">
        <w:t>At a minimum, these procedures must</w:t>
      </w:r>
      <w:r w:rsidR="003E4A2C" w:rsidRPr="00A85B5E">
        <w:t xml:space="preserve"> </w:t>
      </w:r>
      <w:r w:rsidRPr="00A85B5E">
        <w:t>contain the elements required for verifying the identity of customers</w:t>
      </w:r>
      <w:r w:rsidR="003E4A2C" w:rsidRPr="00A85B5E">
        <w:t xml:space="preserve"> </w:t>
      </w:r>
      <w:r w:rsidRPr="00A85B5E">
        <w:t>that are individuals under §1020.220(a)(2) of this chapter (for banks);</w:t>
      </w:r>
      <w:r w:rsidR="003E4A2C" w:rsidRPr="00A85B5E">
        <w:t xml:space="preserve"> </w:t>
      </w:r>
      <w:r w:rsidRPr="00A85B5E">
        <w:t xml:space="preserve">§1023.220(a)(2) of this chapter (for brokers or dealers in securities); </w:t>
      </w:r>
      <w:r w:rsidR="003E4A2C" w:rsidRPr="00A85B5E">
        <w:t xml:space="preserve"> </w:t>
      </w:r>
      <w:r w:rsidRPr="00A85B5E">
        <w:t>§1024.220(a)(2) of this chapter (for mutual funds); or §1026.220(a)(2)</w:t>
      </w:r>
      <w:r w:rsidR="003E4A2C" w:rsidRPr="00A85B5E">
        <w:t xml:space="preserve"> </w:t>
      </w:r>
      <w:r w:rsidRPr="00A85B5E">
        <w:t>of this chapter (for futures commission merchants or introducing</w:t>
      </w:r>
      <w:r w:rsidR="003E4A2C" w:rsidRPr="00A85B5E">
        <w:t xml:space="preserve"> </w:t>
      </w:r>
      <w:r w:rsidRPr="00A85B5E">
        <w:t>brokers in commodities); provided, that in the case of documentary</w:t>
      </w:r>
      <w:r w:rsidR="003E4A2C" w:rsidRPr="00A85B5E">
        <w:t xml:space="preserve"> </w:t>
      </w:r>
      <w:r w:rsidRPr="00A85B5E">
        <w:t>verification, the financial institution may use photocopies or other</w:t>
      </w:r>
      <w:r w:rsidR="003E4A2C" w:rsidRPr="00A85B5E">
        <w:t xml:space="preserve"> </w:t>
      </w:r>
      <w:r w:rsidRPr="00A85B5E">
        <w:t>reproductions of the documents listed in paragraph (a)(2)(ii)(A)(1) of</w:t>
      </w:r>
      <w:r w:rsidR="003E4A2C" w:rsidRPr="00A85B5E">
        <w:t xml:space="preserve"> </w:t>
      </w:r>
      <w:r w:rsidRPr="00A85B5E">
        <w:t>§1020.220 of this chapter (for banks); §1023.220 of this chapter (for</w:t>
      </w:r>
      <w:r w:rsidR="003E4A2C" w:rsidRPr="00A85B5E">
        <w:t xml:space="preserve"> </w:t>
      </w:r>
      <w:r w:rsidRPr="00A85B5E">
        <w:t>brokers or dealers in securities); §1024.220 of this chapter (for mutual</w:t>
      </w:r>
      <w:r w:rsidR="003E4A2C" w:rsidRPr="00A85B5E">
        <w:t xml:space="preserve"> </w:t>
      </w:r>
      <w:r w:rsidRPr="00A85B5E">
        <w:t>funds); or §1026.220 of this chapter (for futures commission</w:t>
      </w:r>
      <w:r w:rsidR="003E4A2C" w:rsidRPr="00A85B5E">
        <w:t xml:space="preserve"> </w:t>
      </w:r>
      <w:r w:rsidRPr="00A85B5E">
        <w:t>merchants or introducing brokers in commodities).</w:t>
      </w:r>
      <w:proofErr w:type="gramEnd"/>
      <w:r w:rsidRPr="00A85B5E">
        <w:t xml:space="preserve"> A covered</w:t>
      </w:r>
      <w:r w:rsidR="003E4A2C" w:rsidRPr="00A85B5E">
        <w:t xml:space="preserve"> </w:t>
      </w:r>
      <w:r w:rsidRPr="00A85B5E">
        <w:t>financial institution may rely on the information supplied by the legal</w:t>
      </w:r>
      <w:r w:rsidR="003E4A2C" w:rsidRPr="00A85B5E">
        <w:t xml:space="preserve"> </w:t>
      </w:r>
      <w:r w:rsidRPr="00A85B5E">
        <w:t>entity customer regarding the identity of its beneficial owner or</w:t>
      </w:r>
      <w:r w:rsidR="003E4A2C" w:rsidRPr="00A85B5E">
        <w:t xml:space="preserve"> </w:t>
      </w:r>
      <w:r w:rsidRPr="00A85B5E">
        <w:t xml:space="preserve">owners, </w:t>
      </w:r>
      <w:proofErr w:type="gramStart"/>
      <w:r w:rsidRPr="00A85B5E">
        <w:t>provided that</w:t>
      </w:r>
      <w:proofErr w:type="gramEnd"/>
      <w:r w:rsidRPr="00A85B5E">
        <w:t xml:space="preserve"> it has no knowledge of facts that would</w:t>
      </w:r>
      <w:r w:rsidR="003E4A2C" w:rsidRPr="00A85B5E">
        <w:t xml:space="preserve"> </w:t>
      </w:r>
      <w:r w:rsidRPr="00A85B5E">
        <w:t>reasonably call into question the reliability of such information.</w:t>
      </w:r>
    </w:p>
    <w:p w:rsidR="00A85B5E" w:rsidRPr="00A85B5E" w:rsidRDefault="00A85B5E" w:rsidP="00A85B5E">
      <w:pPr>
        <w:pStyle w:val="ListParagraph"/>
        <w:spacing w:after="0" w:line="240" w:lineRule="auto"/>
      </w:pPr>
    </w:p>
    <w:p w:rsidR="00FC2953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Account</w:t>
      </w:r>
      <w:r w:rsidRPr="00A85B5E">
        <w:t>.</w:t>
      </w:r>
      <w:proofErr w:type="gramEnd"/>
      <w:r w:rsidRPr="00A85B5E">
        <w:t xml:space="preserve"> For purposes of this section, account has the meaning set forth in</w:t>
      </w:r>
      <w:r w:rsidR="003E4A2C" w:rsidRPr="00A85B5E">
        <w:t xml:space="preserve"> </w:t>
      </w:r>
      <w:r w:rsidRPr="00A85B5E">
        <w:t>§1020.100(a) of this chapter (for banks); §1023.100(a) of this chapter (for</w:t>
      </w:r>
      <w:r w:rsidR="003E4A2C" w:rsidRPr="00A85B5E">
        <w:t xml:space="preserve"> </w:t>
      </w:r>
      <w:r w:rsidRPr="00A85B5E">
        <w:t>brokers or dealers in securities); §1024.100(a) of this chapter (for mutual</w:t>
      </w:r>
      <w:r w:rsidR="003E4A2C" w:rsidRPr="00A85B5E">
        <w:t xml:space="preserve"> </w:t>
      </w:r>
      <w:r w:rsidRPr="00A85B5E">
        <w:t>funds); and §1026.100(a) of this chapter (for futures commission merchants or</w:t>
      </w:r>
      <w:r w:rsidR="003E4A2C" w:rsidRPr="00A85B5E">
        <w:t xml:space="preserve"> </w:t>
      </w:r>
      <w:r w:rsidRPr="00A85B5E">
        <w:t>introducing brokers in commodities).</w:t>
      </w:r>
    </w:p>
    <w:p w:rsidR="00A85B5E" w:rsidRPr="00A85B5E" w:rsidRDefault="00A85B5E" w:rsidP="00A85B5E">
      <w:pPr>
        <w:pStyle w:val="ListParagraph"/>
        <w:spacing w:after="0" w:line="240" w:lineRule="auto"/>
        <w:ind w:left="360"/>
      </w:pPr>
    </w:p>
    <w:p w:rsidR="00FC2953" w:rsidRPr="00A85B5E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Beneficial owner</w:t>
      </w:r>
      <w:r w:rsidRPr="00A85B5E">
        <w:t>.</w:t>
      </w:r>
      <w:proofErr w:type="gramEnd"/>
      <w:r w:rsidRPr="00A85B5E">
        <w:t xml:space="preserve"> For purposes of this section, beneficial owner means each</w:t>
      </w:r>
      <w:r w:rsidR="003E4A2C" w:rsidRPr="00A85B5E">
        <w:t xml:space="preserve"> </w:t>
      </w:r>
      <w:r w:rsidRPr="00A85B5E">
        <w:t>of the following:</w:t>
      </w:r>
    </w:p>
    <w:p w:rsidR="00FC2953" w:rsidRPr="00A85B5E" w:rsidRDefault="00FC2953" w:rsidP="00A85B5E">
      <w:pPr>
        <w:pStyle w:val="ListParagraph"/>
        <w:numPr>
          <w:ilvl w:val="0"/>
          <w:numId w:val="7"/>
        </w:numPr>
        <w:spacing w:after="0" w:line="240" w:lineRule="auto"/>
      </w:pPr>
      <w:r w:rsidRPr="00A85B5E">
        <w:lastRenderedPageBreak/>
        <w:t>Each individual, if any, who, directly or indirectly, through any</w:t>
      </w:r>
      <w:r w:rsidR="003E4A2C" w:rsidRPr="00A85B5E">
        <w:t xml:space="preserve"> </w:t>
      </w:r>
      <w:r w:rsidRPr="00A85B5E">
        <w:t>contract, arrangement, understanding, relationship or otherwise, owns 25 percent or more of the equity interests of a legal entity customer;</w:t>
      </w:r>
      <w:r w:rsidR="003E4A2C" w:rsidRPr="00A85B5E">
        <w:t xml:space="preserve"> </w:t>
      </w:r>
      <w:r w:rsidRPr="00A85B5E">
        <w:t>and</w:t>
      </w:r>
    </w:p>
    <w:p w:rsidR="00FC2953" w:rsidRPr="00A85B5E" w:rsidRDefault="00FC2953" w:rsidP="00A85B5E">
      <w:pPr>
        <w:pStyle w:val="ListParagraph"/>
        <w:numPr>
          <w:ilvl w:val="0"/>
          <w:numId w:val="7"/>
        </w:numPr>
        <w:spacing w:after="0" w:line="240" w:lineRule="auto"/>
      </w:pPr>
      <w:r w:rsidRPr="00A85B5E">
        <w:t>A single individual with significant responsibility to control, manage,</w:t>
      </w:r>
      <w:r w:rsidR="003E4A2C" w:rsidRPr="00A85B5E">
        <w:t xml:space="preserve"> </w:t>
      </w:r>
      <w:r w:rsidRPr="00A85B5E">
        <w:t>or direct a legal entity customer, including:</w:t>
      </w:r>
    </w:p>
    <w:p w:rsidR="00FC2953" w:rsidRPr="00A85B5E" w:rsidRDefault="00FC2953" w:rsidP="00A85B5E">
      <w:pPr>
        <w:pStyle w:val="ListParagraph"/>
        <w:numPr>
          <w:ilvl w:val="0"/>
          <w:numId w:val="8"/>
        </w:numPr>
        <w:spacing w:after="0" w:line="240" w:lineRule="auto"/>
        <w:ind w:hanging="360"/>
      </w:pPr>
      <w:r w:rsidRPr="00A85B5E">
        <w:t>An executive officer or senior manager (e.g., a Chief</w:t>
      </w:r>
      <w:r w:rsidR="003E4A2C" w:rsidRPr="00A85B5E">
        <w:t xml:space="preserve"> </w:t>
      </w:r>
      <w:r w:rsidRPr="00A85B5E">
        <w:t>Executive Officer, Chief Financial Officer, Chief Operating</w:t>
      </w:r>
      <w:r w:rsidR="003E4A2C" w:rsidRPr="00A85B5E">
        <w:t xml:space="preserve"> </w:t>
      </w:r>
      <w:r w:rsidRPr="00A85B5E">
        <w:t>Officer, Managing Member, General Partner, President, Vice</w:t>
      </w:r>
      <w:r w:rsidR="003E4A2C" w:rsidRPr="00A85B5E">
        <w:t xml:space="preserve"> </w:t>
      </w:r>
      <w:r w:rsidRPr="00A85B5E">
        <w:t>President, or Treasurer); or</w:t>
      </w:r>
    </w:p>
    <w:p w:rsidR="00FC2953" w:rsidRPr="00A85B5E" w:rsidRDefault="00FC2953" w:rsidP="00A85B5E">
      <w:pPr>
        <w:pStyle w:val="ListParagraph"/>
        <w:numPr>
          <w:ilvl w:val="0"/>
          <w:numId w:val="8"/>
        </w:numPr>
        <w:spacing w:after="0" w:line="240" w:lineRule="auto"/>
        <w:ind w:hanging="360"/>
      </w:pPr>
      <w:proofErr w:type="gramStart"/>
      <w:r w:rsidRPr="00A85B5E">
        <w:t>Any other individual who regularly performs similar</w:t>
      </w:r>
      <w:r w:rsidR="003E4A2C" w:rsidRPr="00A85B5E">
        <w:t xml:space="preserve"> </w:t>
      </w:r>
      <w:r w:rsidRPr="00A85B5E">
        <w:t>functions.</w:t>
      </w:r>
      <w:proofErr w:type="gramEnd"/>
    </w:p>
    <w:p w:rsidR="00FC2953" w:rsidRPr="00A85B5E" w:rsidRDefault="00FC2953" w:rsidP="00A85B5E">
      <w:pPr>
        <w:pStyle w:val="ListParagraph"/>
        <w:numPr>
          <w:ilvl w:val="0"/>
          <w:numId w:val="7"/>
        </w:numPr>
        <w:spacing w:after="0" w:line="240" w:lineRule="auto"/>
      </w:pPr>
      <w:r w:rsidRPr="00A85B5E">
        <w:t>If a trust owns directly or indirectly, through any contract,</w:t>
      </w:r>
      <w:r w:rsidR="003E4A2C" w:rsidRPr="00A85B5E">
        <w:t xml:space="preserve"> </w:t>
      </w:r>
      <w:r w:rsidRPr="00A85B5E">
        <w:t>arrangement, understanding, relationship or otherwise, 25 percent or</w:t>
      </w:r>
      <w:r w:rsidR="003E4A2C" w:rsidRPr="00A85B5E">
        <w:t xml:space="preserve"> </w:t>
      </w:r>
      <w:r w:rsidRPr="00A85B5E">
        <w:t>more of the equity interests of a legal entity customer, the beneficial</w:t>
      </w:r>
      <w:r w:rsidR="003E4A2C" w:rsidRPr="00A85B5E">
        <w:t xml:space="preserve"> </w:t>
      </w:r>
      <w:r w:rsidRPr="00A85B5E">
        <w:t>owner for purposes of paragraph (d)(1) of this section shall mean the</w:t>
      </w:r>
      <w:r w:rsidR="00373EF9" w:rsidRPr="00A85B5E">
        <w:t xml:space="preserve"> </w:t>
      </w:r>
      <w:r w:rsidRPr="00A85B5E">
        <w:t>trustee. If an entity listed in paragraph (e)(2) of this section owns</w:t>
      </w:r>
      <w:r w:rsidR="00373EF9" w:rsidRPr="00A85B5E">
        <w:t xml:space="preserve"> </w:t>
      </w:r>
      <w:r w:rsidRPr="00A85B5E">
        <w:t>directly or indirectly, through any contract, arrangement,</w:t>
      </w:r>
      <w:r w:rsidR="00373EF9" w:rsidRPr="00A85B5E">
        <w:t xml:space="preserve"> </w:t>
      </w:r>
      <w:r w:rsidRPr="00A85B5E">
        <w:t>understanding, relationship or otherwise, 25 percent or more of the</w:t>
      </w:r>
      <w:r w:rsidR="00373EF9" w:rsidRPr="00A85B5E">
        <w:t xml:space="preserve"> </w:t>
      </w:r>
      <w:r w:rsidRPr="00A85B5E">
        <w:t>equity interests of a legal entity customer, no individual need be</w:t>
      </w:r>
      <w:r w:rsidR="00373EF9" w:rsidRPr="00A85B5E">
        <w:t xml:space="preserve"> </w:t>
      </w:r>
      <w:r w:rsidRPr="00A85B5E">
        <w:t>identified for purposes of paragraph (d)(1) of this section with respect</w:t>
      </w:r>
      <w:r w:rsidR="00373EF9" w:rsidRPr="00A85B5E">
        <w:t xml:space="preserve"> </w:t>
      </w:r>
      <w:r w:rsidRPr="00A85B5E">
        <w:t>to that entity’s interests.</w:t>
      </w:r>
    </w:p>
    <w:p w:rsidR="00FC2953" w:rsidRDefault="00FC2953" w:rsidP="00A85B5E">
      <w:pPr>
        <w:spacing w:after="0" w:line="240" w:lineRule="auto"/>
      </w:pPr>
      <w:r w:rsidRPr="00A85B5E">
        <w:t>Note to paragraph (d). The number of individuals that satisfy the definition of</w:t>
      </w:r>
      <w:r w:rsidR="00373EF9" w:rsidRPr="00A85B5E">
        <w:t xml:space="preserve"> </w:t>
      </w:r>
      <w:r w:rsidRPr="00A85B5E">
        <w:t>“beneficial owner,” and therefore must be identified and verified pursuant to this section, may vary. Under paragraph (d</w:t>
      </w:r>
      <w:proofErr w:type="gramStart"/>
      <w:r w:rsidRPr="00A85B5E">
        <w:t>)(</w:t>
      </w:r>
      <w:proofErr w:type="gramEnd"/>
      <w:r w:rsidRPr="00A85B5E">
        <w:t>1) of this section, depending on the</w:t>
      </w:r>
      <w:r w:rsidR="00373EF9" w:rsidRPr="00A85B5E">
        <w:t xml:space="preserve"> </w:t>
      </w:r>
      <w:r w:rsidRPr="00A85B5E">
        <w:t>factual circumstances, up to four individuals may need to be identified. Under</w:t>
      </w:r>
      <w:r w:rsidR="00373EF9" w:rsidRPr="00A85B5E">
        <w:t xml:space="preserve"> </w:t>
      </w:r>
      <w:r w:rsidRPr="00A85B5E">
        <w:t>paragraph (d</w:t>
      </w:r>
      <w:proofErr w:type="gramStart"/>
      <w:r w:rsidRPr="00A85B5E">
        <w:t>)(</w:t>
      </w:r>
      <w:proofErr w:type="gramEnd"/>
      <w:r w:rsidRPr="00A85B5E">
        <w:t>2) of this section, only one individual must be identified. It is</w:t>
      </w:r>
      <w:r w:rsidR="00373EF9" w:rsidRPr="00A85B5E">
        <w:t xml:space="preserve"> </w:t>
      </w:r>
      <w:r w:rsidRPr="00A85B5E">
        <w:t>possible that in some circumstances the same person or persons might be</w:t>
      </w:r>
      <w:r w:rsidR="00373EF9" w:rsidRPr="00A85B5E">
        <w:t xml:space="preserve"> </w:t>
      </w:r>
      <w:r w:rsidRPr="00A85B5E">
        <w:t>identified pursuant to paragraphs (d</w:t>
      </w:r>
      <w:proofErr w:type="gramStart"/>
      <w:r w:rsidRPr="00A85B5E">
        <w:t>)(</w:t>
      </w:r>
      <w:proofErr w:type="gramEnd"/>
      <w:r w:rsidRPr="00A85B5E">
        <w:t>1) and (2) of this section. A covered</w:t>
      </w:r>
      <w:r w:rsidR="00373EF9" w:rsidRPr="00A85B5E">
        <w:t xml:space="preserve"> </w:t>
      </w:r>
      <w:r w:rsidRPr="00A85B5E">
        <w:t>financial institution may also identify additional individuals as part of its</w:t>
      </w:r>
      <w:r w:rsidR="00373EF9" w:rsidRPr="00A85B5E">
        <w:t xml:space="preserve"> </w:t>
      </w:r>
      <w:r w:rsidRPr="00A85B5E">
        <w:t xml:space="preserve">customer due diligence if it deems appropriate </w:t>
      </w:r>
      <w:proofErr w:type="gramStart"/>
      <w:r w:rsidRPr="00A85B5E">
        <w:t>on the basis of</w:t>
      </w:r>
      <w:proofErr w:type="gramEnd"/>
      <w:r w:rsidRPr="00A85B5E">
        <w:t xml:space="preserve"> risk.</w:t>
      </w:r>
    </w:p>
    <w:p w:rsidR="00A85B5E" w:rsidRPr="00A85B5E" w:rsidRDefault="00A85B5E" w:rsidP="00A85B5E">
      <w:pPr>
        <w:spacing w:after="0" w:line="240" w:lineRule="auto"/>
      </w:pPr>
    </w:p>
    <w:p w:rsidR="00FC2953" w:rsidRPr="00A85B5E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Legal entity customer</w:t>
      </w:r>
      <w:r w:rsidRPr="00A85B5E">
        <w:t>.</w:t>
      </w:r>
      <w:proofErr w:type="gramEnd"/>
      <w:r w:rsidRPr="00A85B5E">
        <w:t xml:space="preserve"> For the purposes of this section:</w:t>
      </w:r>
    </w:p>
    <w:p w:rsidR="00FC2953" w:rsidRPr="00A85B5E" w:rsidRDefault="00FC2953" w:rsidP="00A85B5E">
      <w:pPr>
        <w:pStyle w:val="ListParagraph"/>
        <w:numPr>
          <w:ilvl w:val="0"/>
          <w:numId w:val="9"/>
        </w:numPr>
        <w:spacing w:after="0" w:line="240" w:lineRule="auto"/>
      </w:pPr>
      <w:r w:rsidRPr="00A85B5E">
        <w:t xml:space="preserve">Legal entity customer means a corporation, limited liability </w:t>
      </w:r>
      <w:proofErr w:type="gramStart"/>
      <w:r w:rsidRPr="00A85B5E">
        <w:t>company</w:t>
      </w:r>
      <w:proofErr w:type="gramEnd"/>
      <w:r w:rsidRPr="00A85B5E">
        <w:t>,</w:t>
      </w:r>
      <w:r w:rsidR="00373EF9" w:rsidRPr="00A85B5E">
        <w:t xml:space="preserve"> </w:t>
      </w:r>
      <w:r w:rsidRPr="00A85B5E">
        <w:t>or other entity that is created by the filing of a public document with a</w:t>
      </w:r>
      <w:r w:rsidR="00373EF9" w:rsidRPr="00A85B5E">
        <w:t xml:space="preserve"> </w:t>
      </w:r>
      <w:r w:rsidRPr="00A85B5E">
        <w:t>Secretary of State or similar office, a general partnership, and any</w:t>
      </w:r>
      <w:r w:rsidR="00373EF9" w:rsidRPr="00A85B5E">
        <w:t xml:space="preserve"> </w:t>
      </w:r>
      <w:r w:rsidRPr="00A85B5E">
        <w:t>similar entity formed under the laws of a foreign jurisdiction that</w:t>
      </w:r>
      <w:r w:rsidR="00373EF9" w:rsidRPr="00A85B5E">
        <w:t xml:space="preserve"> </w:t>
      </w:r>
      <w:r w:rsidRPr="00A85B5E">
        <w:t>opens an account.</w:t>
      </w:r>
    </w:p>
    <w:p w:rsidR="00FC2953" w:rsidRPr="00A85B5E" w:rsidRDefault="00FC2953" w:rsidP="00A85B5E">
      <w:pPr>
        <w:pStyle w:val="ListParagraph"/>
        <w:numPr>
          <w:ilvl w:val="0"/>
          <w:numId w:val="9"/>
        </w:numPr>
        <w:spacing w:after="0" w:line="240" w:lineRule="auto"/>
      </w:pPr>
      <w:r w:rsidRPr="00A85B5E">
        <w:t>Legal entity customer does not include: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financial institution regulated by a Federal functional</w:t>
      </w:r>
      <w:r w:rsidR="00373EF9" w:rsidRPr="00A85B5E">
        <w:t xml:space="preserve"> </w:t>
      </w:r>
      <w:r w:rsidRPr="00A85B5E">
        <w:t>regulator or a bank regulated by a State bank regulator;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person described in § 1020.315(b)(2) through (5) of this</w:t>
      </w:r>
      <w:r w:rsidR="00373EF9" w:rsidRPr="00A85B5E">
        <w:t xml:space="preserve"> </w:t>
      </w:r>
      <w:r w:rsidRPr="00A85B5E">
        <w:t>chapter;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An issuer of a class of securities registered under section 12</w:t>
      </w:r>
      <w:r w:rsidR="00373EF9" w:rsidRPr="00A85B5E">
        <w:t xml:space="preserve"> </w:t>
      </w:r>
      <w:r w:rsidRPr="00A85B5E">
        <w:t>of the Securities Exchange Act of 1934 or that is required to</w:t>
      </w:r>
      <w:r w:rsidR="00373EF9" w:rsidRPr="00A85B5E">
        <w:t xml:space="preserve"> </w:t>
      </w:r>
      <w:r w:rsidRPr="00A85B5E">
        <w:t>file reports under section 15(d) of that Act;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An investment company, as defined in section 3 of the</w:t>
      </w:r>
      <w:r w:rsidR="00373EF9" w:rsidRPr="00A85B5E">
        <w:t xml:space="preserve"> </w:t>
      </w:r>
      <w:r w:rsidRPr="00A85B5E">
        <w:t>Investment Company Act of 1940, that is registered with the</w:t>
      </w:r>
      <w:r w:rsidR="00373EF9" w:rsidRPr="00A85B5E">
        <w:t xml:space="preserve"> </w:t>
      </w:r>
      <w:r w:rsidRPr="00A85B5E">
        <w:t>Securities and Exchange Commission under that Act;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An investment adviser, as defined in section 202(a)(11) of</w:t>
      </w:r>
      <w:r w:rsidR="00373EF9" w:rsidRPr="00A85B5E">
        <w:t xml:space="preserve"> </w:t>
      </w:r>
      <w:r w:rsidRPr="00A85B5E">
        <w:t>the Investment Advisers Act of 1940, that is registered with the</w:t>
      </w:r>
      <w:r w:rsidR="00373EF9" w:rsidRPr="00A85B5E">
        <w:t xml:space="preserve"> </w:t>
      </w:r>
      <w:r w:rsidRPr="00A85B5E">
        <w:t>Securities and Exchange Commission under that Act;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An exchange or clearing agency, as defined in section 3 of</w:t>
      </w:r>
      <w:r w:rsidR="00373EF9" w:rsidRPr="00A85B5E">
        <w:t xml:space="preserve"> </w:t>
      </w:r>
      <w:r w:rsidRPr="00A85B5E">
        <w:t>the Securities Exchange Act of 1934, that is registered under</w:t>
      </w:r>
      <w:r w:rsidR="00373EF9" w:rsidRPr="00A85B5E">
        <w:t xml:space="preserve"> </w:t>
      </w:r>
      <w:r w:rsidRPr="00A85B5E">
        <w:t>section 6 or 17A of that Act;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Any other entity registered with the Securities and</w:t>
      </w:r>
      <w:r w:rsidR="00373EF9" w:rsidRPr="00A85B5E">
        <w:t xml:space="preserve"> </w:t>
      </w:r>
      <w:r w:rsidRPr="00A85B5E">
        <w:t>Exchange Commission under the Securities Exchange Act of</w:t>
      </w:r>
      <w:r w:rsidR="00373EF9" w:rsidRPr="00A85B5E">
        <w:t xml:space="preserve"> </w:t>
      </w:r>
      <w:r w:rsidRPr="00A85B5E">
        <w:t>1934;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registered entity, commodity pool operator, commodity</w:t>
      </w:r>
      <w:r w:rsidR="00373EF9" w:rsidRPr="00A85B5E">
        <w:t xml:space="preserve"> </w:t>
      </w:r>
      <w:r w:rsidRPr="00A85B5E">
        <w:t>trading advisor, retail foreign exchange dealer, swap dealer, or</w:t>
      </w:r>
      <w:r w:rsidR="00373EF9" w:rsidRPr="00A85B5E">
        <w:t xml:space="preserve"> </w:t>
      </w:r>
      <w:r w:rsidRPr="00A85B5E">
        <w:t>major swap participant, each as defined in section 1a of the</w:t>
      </w:r>
      <w:r w:rsidR="00373EF9" w:rsidRPr="00A85B5E">
        <w:t xml:space="preserve"> </w:t>
      </w:r>
      <w:r w:rsidRPr="00A85B5E">
        <w:t>Commodity Exchange Act, that is registered with the</w:t>
      </w:r>
      <w:r w:rsidR="00373EF9" w:rsidRPr="00A85B5E">
        <w:t xml:space="preserve"> </w:t>
      </w:r>
      <w:r w:rsidRPr="00A85B5E">
        <w:t>Commodity Futures Trading Commission;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public accounting firm registered under section 102 of</w:t>
      </w:r>
      <w:r w:rsidR="00373EF9" w:rsidRPr="00A85B5E">
        <w:t xml:space="preserve"> </w:t>
      </w:r>
      <w:r w:rsidRPr="00A85B5E">
        <w:t>the Sarbanes–Oxley Act;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lastRenderedPageBreak/>
        <w:t>A bank holding company, as defined in section 2 of the</w:t>
      </w:r>
      <w:r w:rsidR="00373EF9" w:rsidRPr="00A85B5E">
        <w:t xml:space="preserve"> </w:t>
      </w:r>
      <w:r w:rsidRPr="00A85B5E">
        <w:t>Bank Holding Company Act of 1956 (12 U.S.C. 1841) or savings and loan holding company, as defined in section 10(n)</w:t>
      </w:r>
      <w:r w:rsidR="00373EF9" w:rsidRPr="00A85B5E">
        <w:t xml:space="preserve"> </w:t>
      </w:r>
      <w:r w:rsidRPr="00A85B5E">
        <w:t>of the Home Owners’ Loan Act (12 U.S.C 1467a(n));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pooled investment vehicle that is operated or advised by</w:t>
      </w:r>
      <w:r w:rsidR="00373EF9" w:rsidRPr="00A85B5E">
        <w:t xml:space="preserve"> </w:t>
      </w:r>
      <w:r w:rsidRPr="00A85B5E">
        <w:t>a financial institution excluded under paragraph (e)(2) of this</w:t>
      </w:r>
      <w:r w:rsidR="00373EF9" w:rsidRPr="00A85B5E">
        <w:t xml:space="preserve"> </w:t>
      </w:r>
      <w:r w:rsidRPr="00A85B5E">
        <w:t>section;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An insurance company that is regulated by a State;</w:t>
      </w:r>
      <w:r w:rsidR="00373EF9" w:rsidRPr="00A85B5E">
        <w:t xml:space="preserve"> </w:t>
      </w:r>
      <w:r w:rsidRPr="00A85B5E">
        <w:t>(xiii) A financial market utility designated by the Financial</w:t>
      </w:r>
      <w:r w:rsidR="00373EF9" w:rsidRPr="00A85B5E">
        <w:t xml:space="preserve"> </w:t>
      </w:r>
      <w:r w:rsidRPr="00A85B5E">
        <w:t>Stability Oversight Council under Title VIII of the Dodd-Frank</w:t>
      </w:r>
      <w:r w:rsidR="00373EF9" w:rsidRPr="00A85B5E">
        <w:t xml:space="preserve"> </w:t>
      </w:r>
      <w:r w:rsidRPr="00A85B5E">
        <w:t>Wall Street Reform and Consumer Protection Act of 2010;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foreign financial institution established in a jurisdiction</w:t>
      </w:r>
      <w:r w:rsidR="00373EF9" w:rsidRPr="00A85B5E">
        <w:t xml:space="preserve"> </w:t>
      </w:r>
      <w:r w:rsidRPr="00A85B5E">
        <w:t>where the regulator of such institution maintains beneficial</w:t>
      </w:r>
      <w:r w:rsidR="00373EF9" w:rsidRPr="00A85B5E">
        <w:t xml:space="preserve"> </w:t>
      </w:r>
      <w:r w:rsidRPr="00A85B5E">
        <w:t>ownership information regarding such institution;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r w:rsidRPr="00A85B5E">
        <w:t>A non-U.S. governmental department, agency or political</w:t>
      </w:r>
      <w:r w:rsidR="00373EF9" w:rsidRPr="00A85B5E">
        <w:t xml:space="preserve"> </w:t>
      </w:r>
      <w:r w:rsidRPr="00A85B5E">
        <w:t>subdivision that engages only in governmental rather than</w:t>
      </w:r>
      <w:r w:rsidR="00373EF9" w:rsidRPr="00A85B5E">
        <w:t xml:space="preserve"> </w:t>
      </w:r>
      <w:r w:rsidRPr="00A85B5E">
        <w:t>commercial activities; and</w:t>
      </w:r>
    </w:p>
    <w:p w:rsidR="00FC2953" w:rsidRPr="00A85B5E" w:rsidRDefault="00FC2953" w:rsidP="00A85B5E">
      <w:pPr>
        <w:pStyle w:val="ListParagraph"/>
        <w:numPr>
          <w:ilvl w:val="0"/>
          <w:numId w:val="10"/>
        </w:numPr>
        <w:spacing w:after="0" w:line="240" w:lineRule="auto"/>
        <w:ind w:hanging="360"/>
      </w:pPr>
      <w:proofErr w:type="gramStart"/>
      <w:r w:rsidRPr="00A85B5E">
        <w:t>Any legal entity only to the extent that it opens a private</w:t>
      </w:r>
      <w:r w:rsidR="00373EF9" w:rsidRPr="00A85B5E">
        <w:t xml:space="preserve"> </w:t>
      </w:r>
      <w:r w:rsidRPr="00A85B5E">
        <w:t>banking account subject to §1010.620 of this chapter.</w:t>
      </w:r>
      <w:proofErr w:type="gramEnd"/>
    </w:p>
    <w:p w:rsidR="00A85B5E" w:rsidRDefault="00A85B5E" w:rsidP="00A85B5E">
      <w:pPr>
        <w:spacing w:after="0" w:line="240" w:lineRule="auto"/>
      </w:pPr>
    </w:p>
    <w:p w:rsidR="00FC2953" w:rsidRPr="00A85B5E" w:rsidRDefault="00FC2953" w:rsidP="00A85B5E">
      <w:pPr>
        <w:pStyle w:val="ListParagraph"/>
        <w:numPr>
          <w:ilvl w:val="0"/>
          <w:numId w:val="9"/>
        </w:numPr>
        <w:spacing w:after="0" w:line="240" w:lineRule="auto"/>
      </w:pPr>
      <w:r w:rsidRPr="00A85B5E">
        <w:t>The following legal entity customers are subject only to the control</w:t>
      </w:r>
      <w:r w:rsidR="00373EF9" w:rsidRPr="00A85B5E">
        <w:t xml:space="preserve"> </w:t>
      </w:r>
      <w:r w:rsidRPr="00A85B5E">
        <w:t>prong of the beneficial ownership requirement:</w:t>
      </w:r>
    </w:p>
    <w:p w:rsidR="00FC2953" w:rsidRPr="00A85B5E" w:rsidRDefault="00FC2953" w:rsidP="00A85B5E">
      <w:pPr>
        <w:pStyle w:val="ListParagraph"/>
        <w:numPr>
          <w:ilvl w:val="0"/>
          <w:numId w:val="11"/>
        </w:numPr>
        <w:spacing w:after="0" w:line="240" w:lineRule="auto"/>
        <w:ind w:hanging="360"/>
      </w:pPr>
      <w:r w:rsidRPr="00A85B5E">
        <w:t>A pooled investment vehicle that is operated or advised by</w:t>
      </w:r>
      <w:r w:rsidR="00373EF9" w:rsidRPr="00A85B5E">
        <w:t xml:space="preserve"> </w:t>
      </w:r>
      <w:r w:rsidRPr="00A85B5E">
        <w:t>a financial institution not excluded under paragraph (e)(2) of</w:t>
      </w:r>
      <w:r w:rsidR="00373EF9" w:rsidRPr="00A85B5E">
        <w:t xml:space="preserve"> </w:t>
      </w:r>
      <w:r w:rsidRPr="00A85B5E">
        <w:t>this section; and</w:t>
      </w:r>
    </w:p>
    <w:p w:rsidR="00FC2953" w:rsidRPr="00A85B5E" w:rsidRDefault="00FC2953" w:rsidP="00A85B5E">
      <w:pPr>
        <w:pStyle w:val="ListParagraph"/>
        <w:numPr>
          <w:ilvl w:val="0"/>
          <w:numId w:val="11"/>
        </w:numPr>
        <w:spacing w:after="0" w:line="240" w:lineRule="auto"/>
        <w:ind w:hanging="360"/>
      </w:pPr>
      <w:r w:rsidRPr="00A85B5E">
        <w:t xml:space="preserve">Any legal entity that </w:t>
      </w:r>
      <w:proofErr w:type="gramStart"/>
      <w:r w:rsidRPr="00A85B5E">
        <w:t>is established</w:t>
      </w:r>
      <w:proofErr w:type="gramEnd"/>
      <w:r w:rsidRPr="00A85B5E">
        <w:t xml:space="preserve"> as a nonprofit</w:t>
      </w:r>
      <w:r w:rsidR="00373EF9" w:rsidRPr="00A85B5E">
        <w:t xml:space="preserve"> </w:t>
      </w:r>
      <w:r w:rsidRPr="00A85B5E">
        <w:t>corporation or similar entity and has filed its organizational</w:t>
      </w:r>
      <w:r w:rsidR="00373EF9" w:rsidRPr="00A85B5E">
        <w:t xml:space="preserve"> </w:t>
      </w:r>
      <w:r w:rsidRPr="00A85B5E">
        <w:t>documents with the appropriate State authority as necessary.</w:t>
      </w:r>
    </w:p>
    <w:p w:rsidR="00A85B5E" w:rsidRDefault="00A85B5E" w:rsidP="00A85B5E">
      <w:pPr>
        <w:spacing w:after="0" w:line="240" w:lineRule="auto"/>
      </w:pPr>
    </w:p>
    <w:p w:rsidR="00FC2953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Covered financial institution</w:t>
      </w:r>
      <w:r w:rsidRPr="00A85B5E">
        <w:t>.</w:t>
      </w:r>
      <w:proofErr w:type="gramEnd"/>
      <w:r w:rsidRPr="00A85B5E">
        <w:t xml:space="preserve"> For the purposes of this section, covered</w:t>
      </w:r>
      <w:r w:rsidR="00373EF9" w:rsidRPr="00A85B5E">
        <w:t xml:space="preserve"> </w:t>
      </w:r>
      <w:r w:rsidRPr="00A85B5E">
        <w:t>financial institution has the meaning set forth in § 1010.605(e</w:t>
      </w:r>
      <w:proofErr w:type="gramStart"/>
      <w:r w:rsidRPr="00A85B5E">
        <w:t>)(</w:t>
      </w:r>
      <w:proofErr w:type="gramEnd"/>
      <w:r w:rsidRPr="00A85B5E">
        <w:t>1) of this</w:t>
      </w:r>
      <w:r w:rsidR="00373EF9" w:rsidRPr="00A85B5E">
        <w:t xml:space="preserve"> </w:t>
      </w:r>
      <w:r w:rsidRPr="00A85B5E">
        <w:t>chapter.</w:t>
      </w:r>
    </w:p>
    <w:p w:rsidR="00A85B5E" w:rsidRPr="00A85B5E" w:rsidRDefault="00A85B5E" w:rsidP="00A85B5E">
      <w:pPr>
        <w:pStyle w:val="ListParagraph"/>
        <w:spacing w:after="0" w:line="240" w:lineRule="auto"/>
        <w:ind w:left="360"/>
      </w:pPr>
    </w:p>
    <w:p w:rsidR="00FC2953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New account</w:t>
      </w:r>
      <w:r w:rsidRPr="00A85B5E">
        <w:t>.</w:t>
      </w:r>
      <w:proofErr w:type="gramEnd"/>
      <w:r w:rsidRPr="00A85B5E">
        <w:t xml:space="preserve"> For the purposes of this section, new account means each</w:t>
      </w:r>
      <w:r w:rsidR="00373EF9" w:rsidRPr="00A85B5E">
        <w:t xml:space="preserve"> </w:t>
      </w:r>
      <w:r w:rsidRPr="00A85B5E">
        <w:t>account opened at a covered financial institution by a legal entity customer on</w:t>
      </w:r>
      <w:r w:rsidR="00373EF9" w:rsidRPr="00A85B5E">
        <w:t xml:space="preserve"> </w:t>
      </w:r>
      <w:r w:rsidRPr="00A85B5E">
        <w:t>or after the applicability date.</w:t>
      </w:r>
    </w:p>
    <w:p w:rsidR="00A85B5E" w:rsidRPr="00A85B5E" w:rsidRDefault="00A85B5E" w:rsidP="00A85B5E">
      <w:pPr>
        <w:pStyle w:val="ListParagraph"/>
        <w:spacing w:after="0" w:line="240" w:lineRule="auto"/>
        <w:ind w:left="360"/>
      </w:pPr>
    </w:p>
    <w:p w:rsidR="00373EF9" w:rsidRPr="00A85B5E" w:rsidRDefault="00FC2953" w:rsidP="00A85B5E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Exemptions</w:t>
      </w:r>
      <w:r w:rsidRPr="00A85B5E">
        <w:t>.</w:t>
      </w:r>
      <w:proofErr w:type="gramEnd"/>
      <w:r w:rsidRPr="00A85B5E">
        <w:t xml:space="preserve"> </w:t>
      </w:r>
    </w:p>
    <w:p w:rsidR="00FC2953" w:rsidRPr="00A85B5E" w:rsidRDefault="00FC2953" w:rsidP="00A85B5E">
      <w:pPr>
        <w:pStyle w:val="ListParagraph"/>
        <w:numPr>
          <w:ilvl w:val="0"/>
          <w:numId w:val="12"/>
        </w:numPr>
        <w:spacing w:after="0" w:line="240" w:lineRule="auto"/>
      </w:pPr>
      <w:r w:rsidRPr="00A85B5E">
        <w:t>Covered financial institutions are exempt from the</w:t>
      </w:r>
      <w:r w:rsidR="00373EF9" w:rsidRPr="00A85B5E">
        <w:t xml:space="preserve"> </w:t>
      </w:r>
      <w:r w:rsidRPr="00A85B5E">
        <w:t>requirements to identify and verify the identity of the beneficial owner(s) set</w:t>
      </w:r>
      <w:r w:rsidR="00373EF9" w:rsidRPr="00A85B5E">
        <w:t xml:space="preserve"> </w:t>
      </w:r>
      <w:r w:rsidRPr="00A85B5E">
        <w:t>forth in paragraphs (a) and (b)(1) and (2) of this section only to the extent the</w:t>
      </w:r>
      <w:r w:rsidR="00373EF9" w:rsidRPr="00A85B5E">
        <w:t xml:space="preserve"> </w:t>
      </w:r>
      <w:r w:rsidRPr="00A85B5E">
        <w:t>financial institution opens an account for a legal entity customer that is:</w:t>
      </w:r>
    </w:p>
    <w:p w:rsidR="00FC2953" w:rsidRPr="00A85B5E" w:rsidRDefault="00A85B5E" w:rsidP="00A85B5E">
      <w:pPr>
        <w:spacing w:after="0" w:line="240" w:lineRule="auto"/>
        <w:ind w:left="1080" w:hanging="360"/>
      </w:pPr>
      <w:r>
        <w:t>(</w:t>
      </w:r>
      <w:proofErr w:type="spellStart"/>
      <w:r>
        <w:t>i</w:t>
      </w:r>
      <w:proofErr w:type="spellEnd"/>
      <w:r>
        <w:t xml:space="preserve">)    </w:t>
      </w:r>
      <w:r w:rsidR="00FC2953" w:rsidRPr="00A85B5E">
        <w:t>At the point-of-sale to provide credit products, including</w:t>
      </w:r>
      <w:r w:rsidR="00373EF9" w:rsidRPr="00A85B5E">
        <w:t xml:space="preserve"> </w:t>
      </w:r>
      <w:r w:rsidR="00FC2953" w:rsidRPr="00A85B5E">
        <w:t>commercial private label credit cards, solely for the purchase of</w:t>
      </w:r>
      <w:r w:rsidR="00373EF9" w:rsidRPr="00A85B5E">
        <w:t xml:space="preserve"> </w:t>
      </w:r>
      <w:r w:rsidR="00FC2953" w:rsidRPr="00A85B5E">
        <w:t>retail goods and/or services at these retailers, up to a limit of</w:t>
      </w:r>
      <w:r w:rsidR="00373EF9" w:rsidRPr="00A85B5E">
        <w:t xml:space="preserve"> </w:t>
      </w:r>
      <w:r w:rsidR="00FC2953" w:rsidRPr="00A85B5E">
        <w:t>$50,000</w:t>
      </w:r>
      <w:proofErr w:type="gramStart"/>
      <w:r w:rsidR="00FC2953" w:rsidRPr="00A85B5E">
        <w:t>;</w:t>
      </w:r>
      <w:proofErr w:type="gramEnd"/>
    </w:p>
    <w:p w:rsidR="00FC2953" w:rsidRPr="00A85B5E" w:rsidRDefault="00A85B5E" w:rsidP="00A85B5E">
      <w:pPr>
        <w:spacing w:after="0" w:line="240" w:lineRule="auto"/>
        <w:ind w:left="1080" w:hanging="360"/>
      </w:pPr>
      <w:r>
        <w:t xml:space="preserve">(ii)  </w:t>
      </w:r>
      <w:r w:rsidR="00FC2953" w:rsidRPr="00A85B5E">
        <w:t>To finance the purchase of postage and for which payments</w:t>
      </w:r>
      <w:r w:rsidR="00373EF9" w:rsidRPr="00A85B5E">
        <w:t xml:space="preserve"> </w:t>
      </w:r>
      <w:proofErr w:type="gramStart"/>
      <w:r w:rsidR="00FC2953" w:rsidRPr="00A85B5E">
        <w:t>are remitted</w:t>
      </w:r>
      <w:proofErr w:type="gramEnd"/>
      <w:r w:rsidR="00FC2953" w:rsidRPr="00A85B5E">
        <w:t xml:space="preserve"> directly by the financial institution to the provider</w:t>
      </w:r>
      <w:r w:rsidR="00373EF9" w:rsidRPr="00A85B5E">
        <w:t xml:space="preserve"> </w:t>
      </w:r>
      <w:r w:rsidR="00FC2953" w:rsidRPr="00A85B5E">
        <w:t>of the postage products;</w:t>
      </w:r>
    </w:p>
    <w:p w:rsidR="00FC2953" w:rsidRPr="00A85B5E" w:rsidRDefault="00FC2953" w:rsidP="00A85B5E">
      <w:pPr>
        <w:pStyle w:val="ListParagraph"/>
        <w:numPr>
          <w:ilvl w:val="0"/>
          <w:numId w:val="11"/>
        </w:numPr>
        <w:spacing w:after="0" w:line="240" w:lineRule="auto"/>
        <w:ind w:hanging="360"/>
      </w:pPr>
      <w:r w:rsidRPr="00A85B5E">
        <w:t>To finance insurance premiums and for which payments are</w:t>
      </w:r>
      <w:r w:rsidR="00373EF9" w:rsidRPr="00A85B5E">
        <w:t xml:space="preserve"> </w:t>
      </w:r>
      <w:r w:rsidRPr="00A85B5E">
        <w:t>remitted directly by the financial institution to the insurance</w:t>
      </w:r>
      <w:r w:rsidR="00373EF9" w:rsidRPr="00A85B5E">
        <w:t xml:space="preserve"> </w:t>
      </w:r>
      <w:r w:rsidRPr="00A85B5E">
        <w:t>provider or broker;</w:t>
      </w:r>
    </w:p>
    <w:p w:rsidR="00FC2953" w:rsidRPr="00A85B5E" w:rsidRDefault="00FC2953" w:rsidP="00A85B5E">
      <w:pPr>
        <w:pStyle w:val="ListParagraph"/>
        <w:numPr>
          <w:ilvl w:val="0"/>
          <w:numId w:val="11"/>
        </w:numPr>
        <w:spacing w:after="0" w:line="240" w:lineRule="auto"/>
        <w:ind w:hanging="360"/>
      </w:pPr>
      <w:r w:rsidRPr="00A85B5E">
        <w:t>To finance the purchase or leasing of equipment and for</w:t>
      </w:r>
      <w:r w:rsidR="00373EF9" w:rsidRPr="00A85B5E">
        <w:t xml:space="preserve"> </w:t>
      </w:r>
      <w:r w:rsidRPr="00A85B5E">
        <w:t xml:space="preserve">which payments </w:t>
      </w:r>
      <w:proofErr w:type="gramStart"/>
      <w:r w:rsidRPr="00A85B5E">
        <w:t>are remitted</w:t>
      </w:r>
      <w:proofErr w:type="gramEnd"/>
      <w:r w:rsidRPr="00A85B5E">
        <w:t xml:space="preserve"> directly by the financial</w:t>
      </w:r>
      <w:r w:rsidR="00373EF9" w:rsidRPr="00A85B5E">
        <w:t xml:space="preserve"> </w:t>
      </w:r>
      <w:r w:rsidRPr="00A85B5E">
        <w:t>institution to the vendor or lessor of this equipment.</w:t>
      </w:r>
    </w:p>
    <w:p w:rsidR="00373EF9" w:rsidRPr="00A85B5E" w:rsidRDefault="00FC2953" w:rsidP="00A85B5E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 w:rsidRPr="00A85B5E">
        <w:t>Limitations on Exemptions.</w:t>
      </w:r>
      <w:proofErr w:type="gramEnd"/>
      <w:r w:rsidRPr="00A85B5E">
        <w:t xml:space="preserve"> </w:t>
      </w:r>
    </w:p>
    <w:p w:rsidR="00FC2953" w:rsidRPr="00A85B5E" w:rsidRDefault="00FC2953" w:rsidP="00A85B5E">
      <w:pPr>
        <w:spacing w:after="0" w:line="240" w:lineRule="auto"/>
        <w:ind w:left="1080" w:hanging="360"/>
      </w:pPr>
      <w:r w:rsidRPr="00A85B5E">
        <w:t>(</w:t>
      </w:r>
      <w:proofErr w:type="spellStart"/>
      <w:r w:rsidRPr="00A85B5E">
        <w:t>i</w:t>
      </w:r>
      <w:proofErr w:type="spellEnd"/>
      <w:r w:rsidRPr="00A85B5E">
        <w:t xml:space="preserve">) </w:t>
      </w:r>
      <w:r w:rsidR="00A85B5E">
        <w:t xml:space="preserve">  </w:t>
      </w:r>
      <w:r w:rsidRPr="00A85B5E">
        <w:t>The exemptions identified in</w:t>
      </w:r>
      <w:r w:rsidR="00373EF9" w:rsidRPr="00A85B5E">
        <w:t xml:space="preserve"> </w:t>
      </w:r>
      <w:r w:rsidRPr="00A85B5E">
        <w:t>paragraphs (h</w:t>
      </w:r>
      <w:proofErr w:type="gramStart"/>
      <w:r w:rsidRPr="00A85B5E">
        <w:t>)(</w:t>
      </w:r>
      <w:proofErr w:type="gramEnd"/>
      <w:r w:rsidRPr="00A85B5E">
        <w:t>1)(ii) through (iv) of this section do not apply to</w:t>
      </w:r>
      <w:r w:rsidR="00373EF9" w:rsidRPr="00A85B5E">
        <w:t xml:space="preserve"> </w:t>
      </w:r>
      <w:r w:rsidRPr="00A85B5E">
        <w:t>transaction accounts through which a legal entity customer can make</w:t>
      </w:r>
      <w:r w:rsidR="00373EF9" w:rsidRPr="00A85B5E">
        <w:t xml:space="preserve"> </w:t>
      </w:r>
      <w:r w:rsidRPr="00A85B5E">
        <w:t>payments to, or receive payments from, third parties.</w:t>
      </w:r>
    </w:p>
    <w:p w:rsidR="00FC2953" w:rsidRDefault="00FC2953" w:rsidP="00A85B5E">
      <w:pPr>
        <w:spacing w:after="0" w:line="240" w:lineRule="auto"/>
        <w:ind w:left="1080" w:hanging="360"/>
      </w:pPr>
      <w:proofErr w:type="gramStart"/>
      <w:r w:rsidRPr="00A85B5E">
        <w:t xml:space="preserve">(ii) </w:t>
      </w:r>
      <w:r w:rsidR="00A85B5E">
        <w:t xml:space="preserve">  </w:t>
      </w:r>
      <w:r w:rsidRPr="00A85B5E">
        <w:t>If there is the possibility of a cash refund on the account</w:t>
      </w:r>
      <w:r w:rsidR="00373EF9" w:rsidRPr="00A85B5E">
        <w:t xml:space="preserve"> </w:t>
      </w:r>
      <w:r w:rsidRPr="00A85B5E">
        <w:t>activity identified in paragraphs (h)(1)(ii) through (iv) of this</w:t>
      </w:r>
      <w:r w:rsidR="00373EF9" w:rsidRPr="00A85B5E">
        <w:t xml:space="preserve"> </w:t>
      </w:r>
      <w:r w:rsidRPr="00A85B5E">
        <w:t>section, then beneficial ownership of the legal entity customer</w:t>
      </w:r>
      <w:r w:rsidR="00373EF9" w:rsidRPr="00A85B5E">
        <w:t xml:space="preserve"> </w:t>
      </w:r>
      <w:r w:rsidRPr="00A85B5E">
        <w:lastRenderedPageBreak/>
        <w:t>must be identified and verified by the financial institution as</w:t>
      </w:r>
      <w:r w:rsidR="00373EF9" w:rsidRPr="00A85B5E">
        <w:t xml:space="preserve"> </w:t>
      </w:r>
      <w:r w:rsidRPr="00A85B5E">
        <w:t>required by this section, either at the time of initial remittance,</w:t>
      </w:r>
      <w:r w:rsidR="00373EF9" w:rsidRPr="00A85B5E">
        <w:t xml:space="preserve"> </w:t>
      </w:r>
      <w:r w:rsidRPr="00A85B5E">
        <w:t>or at the time such refund occurs.</w:t>
      </w:r>
      <w:proofErr w:type="gramEnd"/>
    </w:p>
    <w:p w:rsidR="00C70DA7" w:rsidRPr="00A85B5E" w:rsidRDefault="00C70DA7" w:rsidP="00A85B5E">
      <w:pPr>
        <w:spacing w:after="0" w:line="240" w:lineRule="auto"/>
        <w:ind w:left="1080" w:hanging="360"/>
      </w:pPr>
    </w:p>
    <w:p w:rsidR="00FC2953" w:rsidRPr="00A85B5E" w:rsidRDefault="00FC2953" w:rsidP="0096015C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A85B5E">
        <w:rPr>
          <w:i/>
        </w:rPr>
        <w:t>Recordkeeping</w:t>
      </w:r>
      <w:r w:rsidRPr="00A85B5E">
        <w:t>.</w:t>
      </w:r>
      <w:proofErr w:type="gramEnd"/>
      <w:r w:rsidRPr="00A85B5E">
        <w:t xml:space="preserve"> A covered financial institution must establish procedures for</w:t>
      </w:r>
      <w:r w:rsidR="00373EF9" w:rsidRPr="00A85B5E">
        <w:t xml:space="preserve"> </w:t>
      </w:r>
      <w:r w:rsidRPr="00A85B5E">
        <w:t>making and maintaining a record of all information obtained under the</w:t>
      </w:r>
      <w:r w:rsidR="00373EF9" w:rsidRPr="00A85B5E">
        <w:t xml:space="preserve"> </w:t>
      </w:r>
      <w:r w:rsidRPr="00A85B5E">
        <w:t>procedures implementing paragraph (b) of this section.</w:t>
      </w:r>
    </w:p>
    <w:p w:rsidR="00FC2953" w:rsidRPr="00A85B5E" w:rsidRDefault="00FC2953" w:rsidP="0096015C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 w:rsidRPr="00A85B5E">
        <w:t>Required records.</w:t>
      </w:r>
      <w:proofErr w:type="gramEnd"/>
      <w:r w:rsidRPr="00A85B5E">
        <w:t xml:space="preserve"> At a minimum the record must include:</w:t>
      </w:r>
    </w:p>
    <w:p w:rsidR="00FC2953" w:rsidRPr="00A85B5E" w:rsidRDefault="00FC2953" w:rsidP="0096015C">
      <w:pPr>
        <w:spacing w:after="0" w:line="240" w:lineRule="auto"/>
        <w:ind w:left="1080" w:hanging="360"/>
      </w:pPr>
      <w:r w:rsidRPr="00A85B5E">
        <w:t>(</w:t>
      </w:r>
      <w:proofErr w:type="spellStart"/>
      <w:r w:rsidRPr="00A85B5E">
        <w:t>i</w:t>
      </w:r>
      <w:proofErr w:type="spellEnd"/>
      <w:r w:rsidRPr="00A85B5E">
        <w:t xml:space="preserve">) </w:t>
      </w:r>
      <w:r w:rsidR="0096015C">
        <w:t xml:space="preserve">   </w:t>
      </w:r>
      <w:r w:rsidRPr="00A85B5E">
        <w:t>For identification, any identifying information obtained by</w:t>
      </w:r>
      <w:r w:rsidR="00373EF9" w:rsidRPr="00A85B5E">
        <w:t xml:space="preserve"> </w:t>
      </w:r>
      <w:r w:rsidRPr="00A85B5E">
        <w:t>the covered financial institution pursuant to paragraph (b) of</w:t>
      </w:r>
      <w:r w:rsidR="00373EF9" w:rsidRPr="00A85B5E">
        <w:t xml:space="preserve"> </w:t>
      </w:r>
      <w:r w:rsidRPr="00A85B5E">
        <w:t>this section, including without limitation the certification (if</w:t>
      </w:r>
      <w:r w:rsidR="00373EF9" w:rsidRPr="00A85B5E">
        <w:t xml:space="preserve"> </w:t>
      </w:r>
      <w:r w:rsidRPr="00A85B5E">
        <w:t>obtained); and</w:t>
      </w:r>
    </w:p>
    <w:p w:rsidR="00FC2953" w:rsidRPr="00A85B5E" w:rsidRDefault="0096015C" w:rsidP="0096015C">
      <w:pPr>
        <w:spacing w:after="0" w:line="240" w:lineRule="auto"/>
        <w:ind w:left="1080" w:hanging="360"/>
      </w:pPr>
      <w:r>
        <w:t xml:space="preserve">(ii)   </w:t>
      </w:r>
      <w:r w:rsidR="00FC2953" w:rsidRPr="00A85B5E">
        <w:t>For verification, a description of any document relied on</w:t>
      </w:r>
      <w:r w:rsidR="00373EF9" w:rsidRPr="00A85B5E">
        <w:t xml:space="preserve"> </w:t>
      </w:r>
      <w:r w:rsidR="00FC2953" w:rsidRPr="00A85B5E">
        <w:t>(noting the type, any identification number, place of issuance</w:t>
      </w:r>
      <w:r w:rsidR="00373EF9" w:rsidRPr="00A85B5E">
        <w:t xml:space="preserve"> </w:t>
      </w:r>
      <w:r w:rsidR="00FC2953" w:rsidRPr="00A85B5E">
        <w:t xml:space="preserve">and, if any, date of issuance and expiration), of any </w:t>
      </w:r>
      <w:proofErr w:type="spellStart"/>
      <w:r w:rsidR="00FC2953" w:rsidRPr="00A85B5E">
        <w:t>nondocumentary</w:t>
      </w:r>
      <w:proofErr w:type="spellEnd"/>
      <w:r w:rsidR="00373EF9" w:rsidRPr="00A85B5E">
        <w:t xml:space="preserve"> </w:t>
      </w:r>
      <w:r w:rsidR="00FC2953" w:rsidRPr="00A85B5E">
        <w:t>methods and the results of any measures</w:t>
      </w:r>
      <w:r w:rsidR="00373EF9" w:rsidRPr="00A85B5E">
        <w:t xml:space="preserve"> </w:t>
      </w:r>
      <w:r w:rsidR="00FC2953" w:rsidRPr="00A85B5E">
        <w:t>undertaken, and of the resolution of each substantive</w:t>
      </w:r>
      <w:r w:rsidR="00373EF9" w:rsidRPr="00A85B5E">
        <w:t xml:space="preserve"> </w:t>
      </w:r>
      <w:r w:rsidR="00FC2953" w:rsidRPr="00A85B5E">
        <w:t>discrepancy.</w:t>
      </w:r>
    </w:p>
    <w:p w:rsidR="00FC2953" w:rsidRDefault="00FC2953" w:rsidP="0096015C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 w:rsidRPr="00A85B5E">
        <w:t>Retention of records.</w:t>
      </w:r>
      <w:proofErr w:type="gramEnd"/>
      <w:r w:rsidRPr="00A85B5E">
        <w:t xml:space="preserve"> A covered financial institution must retain the</w:t>
      </w:r>
      <w:r w:rsidR="00373EF9" w:rsidRPr="00A85B5E">
        <w:t xml:space="preserve"> </w:t>
      </w:r>
      <w:r w:rsidRPr="00A85B5E">
        <w:t>records made under paragraph (</w:t>
      </w:r>
      <w:proofErr w:type="spellStart"/>
      <w:r w:rsidRPr="00A85B5E">
        <w:t>i</w:t>
      </w:r>
      <w:proofErr w:type="spellEnd"/>
      <w:r w:rsidRPr="00A85B5E">
        <w:t>)(1)(</w:t>
      </w:r>
      <w:proofErr w:type="spellStart"/>
      <w:r w:rsidRPr="00A85B5E">
        <w:t>i</w:t>
      </w:r>
      <w:proofErr w:type="spellEnd"/>
      <w:r w:rsidRPr="00A85B5E">
        <w:t>) of this section for five years</w:t>
      </w:r>
      <w:r w:rsidR="00373EF9" w:rsidRPr="00A85B5E">
        <w:t xml:space="preserve"> </w:t>
      </w:r>
      <w:r w:rsidRPr="00A85B5E">
        <w:t>after the date the account is closed, and the records made under</w:t>
      </w:r>
      <w:r w:rsidR="00373EF9" w:rsidRPr="00A85B5E">
        <w:t xml:space="preserve"> </w:t>
      </w:r>
      <w:r w:rsidRPr="00A85B5E">
        <w:t>paragraph (</w:t>
      </w:r>
      <w:proofErr w:type="spellStart"/>
      <w:r w:rsidRPr="00A85B5E">
        <w:t>i</w:t>
      </w:r>
      <w:proofErr w:type="spellEnd"/>
      <w:r w:rsidRPr="00A85B5E">
        <w:t>)(1)(ii) of this section for five years after the record is</w:t>
      </w:r>
      <w:r w:rsidR="00373EF9" w:rsidRPr="00A85B5E">
        <w:t xml:space="preserve"> </w:t>
      </w:r>
      <w:r w:rsidRPr="00A85B5E">
        <w:t>made.</w:t>
      </w:r>
    </w:p>
    <w:p w:rsidR="0096015C" w:rsidRPr="00A85B5E" w:rsidRDefault="0096015C" w:rsidP="0096015C">
      <w:pPr>
        <w:pStyle w:val="ListParagraph"/>
        <w:spacing w:after="0" w:line="240" w:lineRule="auto"/>
      </w:pPr>
    </w:p>
    <w:p w:rsidR="00FC2953" w:rsidRPr="00A85B5E" w:rsidRDefault="00FC2953" w:rsidP="0096015C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96015C">
        <w:rPr>
          <w:i/>
        </w:rPr>
        <w:t>Reliance on another financial institution</w:t>
      </w:r>
      <w:r w:rsidRPr="00A85B5E">
        <w:t>.</w:t>
      </w:r>
      <w:proofErr w:type="gramEnd"/>
      <w:r w:rsidR="0096015C">
        <w:t xml:space="preserve"> </w:t>
      </w:r>
      <w:r w:rsidRPr="00A85B5E">
        <w:t>A covered financial institution may</w:t>
      </w:r>
      <w:r w:rsidR="00373EF9" w:rsidRPr="00A85B5E">
        <w:t xml:space="preserve"> </w:t>
      </w:r>
      <w:r w:rsidRPr="00A85B5E">
        <w:t>rely on the performance by another financial institution (including an affiliate)</w:t>
      </w:r>
      <w:r w:rsidR="00373EF9" w:rsidRPr="00A85B5E">
        <w:t xml:space="preserve"> </w:t>
      </w:r>
      <w:r w:rsidRPr="00A85B5E">
        <w:t>of the requirements of this section with respect to any legal entity customer of</w:t>
      </w:r>
      <w:r w:rsidR="00373EF9" w:rsidRPr="00A85B5E">
        <w:t xml:space="preserve"> </w:t>
      </w:r>
      <w:r w:rsidRPr="00A85B5E">
        <w:t>the covered financial institution that is opening, or has opened, an account or</w:t>
      </w:r>
      <w:r w:rsidR="00373EF9" w:rsidRPr="00A85B5E">
        <w:t xml:space="preserve"> </w:t>
      </w:r>
      <w:r w:rsidRPr="00A85B5E">
        <w:t>has established a similar business relationship with the other financial institution to provide or engage in services, dealings, or other financial</w:t>
      </w:r>
      <w:r w:rsidR="00A85B5E" w:rsidRPr="00A85B5E">
        <w:t xml:space="preserve"> </w:t>
      </w:r>
      <w:r w:rsidRPr="00A85B5E">
        <w:t>transactions, provided that:</w:t>
      </w:r>
    </w:p>
    <w:p w:rsidR="00FC2953" w:rsidRPr="00A85B5E" w:rsidRDefault="00FC2953" w:rsidP="0096015C">
      <w:pPr>
        <w:pStyle w:val="ListParagraph"/>
        <w:numPr>
          <w:ilvl w:val="0"/>
          <w:numId w:val="17"/>
        </w:numPr>
        <w:spacing w:after="0" w:line="240" w:lineRule="auto"/>
      </w:pPr>
      <w:r w:rsidRPr="00A85B5E">
        <w:t>Such reliance is reasonable under the circumstances;</w:t>
      </w:r>
    </w:p>
    <w:p w:rsidR="00FC2953" w:rsidRPr="00A85B5E" w:rsidRDefault="00FC2953" w:rsidP="0096015C">
      <w:pPr>
        <w:pStyle w:val="ListParagraph"/>
        <w:numPr>
          <w:ilvl w:val="0"/>
          <w:numId w:val="17"/>
        </w:numPr>
        <w:spacing w:after="0" w:line="240" w:lineRule="auto"/>
      </w:pPr>
      <w:r w:rsidRPr="00A85B5E">
        <w:t>The other financial institution is subject to a rule implementing 31</w:t>
      </w:r>
      <w:r w:rsidR="00A85B5E" w:rsidRPr="00A85B5E">
        <w:t xml:space="preserve"> </w:t>
      </w:r>
      <w:r w:rsidRPr="00A85B5E">
        <w:t>U.S.C. 5318(h) and is regulated by a Federal functional regulator; and</w:t>
      </w:r>
    </w:p>
    <w:p w:rsidR="00FD3FF3" w:rsidRPr="00A85B5E" w:rsidRDefault="00FC2953" w:rsidP="0096015C">
      <w:pPr>
        <w:pStyle w:val="ListParagraph"/>
        <w:numPr>
          <w:ilvl w:val="0"/>
          <w:numId w:val="17"/>
        </w:numPr>
        <w:spacing w:after="0" w:line="240" w:lineRule="auto"/>
      </w:pPr>
      <w:r w:rsidRPr="00A85B5E">
        <w:t>The other financial institution enters into a contract requiring it to</w:t>
      </w:r>
      <w:r w:rsidR="00A85B5E" w:rsidRPr="00A85B5E">
        <w:t xml:space="preserve"> </w:t>
      </w:r>
      <w:r w:rsidRPr="00A85B5E">
        <w:t>certify annually to the covered financial institution that it has</w:t>
      </w:r>
      <w:r w:rsidR="00A85B5E" w:rsidRPr="00A85B5E">
        <w:t xml:space="preserve"> </w:t>
      </w:r>
      <w:r w:rsidRPr="00A85B5E">
        <w:t>implemented its anti-money laundering program, and that it will</w:t>
      </w:r>
      <w:r w:rsidR="00A85B5E" w:rsidRPr="00A85B5E">
        <w:t xml:space="preserve"> </w:t>
      </w:r>
      <w:r w:rsidRPr="00A85B5E">
        <w:t>perform (or its agent will perform) the specified requirements of the</w:t>
      </w:r>
      <w:r w:rsidR="00A85B5E" w:rsidRPr="00A85B5E">
        <w:t xml:space="preserve"> </w:t>
      </w:r>
      <w:r w:rsidRPr="00A85B5E">
        <w:t>covered financial institution’s procedures to comply with the</w:t>
      </w:r>
      <w:r w:rsidR="00A85B5E" w:rsidRPr="00A85B5E">
        <w:t xml:space="preserve"> </w:t>
      </w:r>
      <w:r w:rsidRPr="00A85B5E">
        <w:t>requirements of this section.</w:t>
      </w:r>
    </w:p>
    <w:p w:rsidR="0096015C" w:rsidRDefault="0096015C" w:rsidP="00FC2953"/>
    <w:p w:rsidR="0096015C" w:rsidRDefault="0096015C">
      <w:r>
        <w:br w:type="page"/>
      </w:r>
    </w:p>
    <w:p w:rsidR="00FC2953" w:rsidRPr="0096015C" w:rsidRDefault="00FC2953" w:rsidP="00FC2953">
      <w:pPr>
        <w:rPr>
          <w:b/>
        </w:rPr>
      </w:pPr>
      <w:r w:rsidRPr="0096015C">
        <w:rPr>
          <w:b/>
        </w:rPr>
        <w:lastRenderedPageBreak/>
        <w:t>APPENDIX A to § 1010.230 -- CERTIFICATION REGARDING</w:t>
      </w:r>
      <w:r w:rsidR="0096015C" w:rsidRPr="0096015C">
        <w:rPr>
          <w:b/>
        </w:rPr>
        <w:t xml:space="preserve"> </w:t>
      </w:r>
      <w:r w:rsidRPr="0096015C">
        <w:rPr>
          <w:b/>
        </w:rPr>
        <w:t>BENEFICIAL OWNERS OF LEGAL ENTITY CUSTOMERS</w:t>
      </w:r>
    </w:p>
    <w:p w:rsidR="00FC2953" w:rsidRPr="0096015C" w:rsidRDefault="00FC2953" w:rsidP="00FC2953">
      <w:pPr>
        <w:rPr>
          <w:b/>
        </w:rPr>
      </w:pPr>
      <w:r w:rsidRPr="0096015C">
        <w:rPr>
          <w:b/>
        </w:rPr>
        <w:t>I. GENERAL INSTRUCTIONS</w:t>
      </w:r>
    </w:p>
    <w:p w:rsidR="00FC2953" w:rsidRPr="0096015C" w:rsidRDefault="00FC2953" w:rsidP="0096015C">
      <w:pPr>
        <w:jc w:val="center"/>
        <w:rPr>
          <w:b/>
          <w:u w:val="single"/>
        </w:rPr>
      </w:pPr>
      <w:r w:rsidRPr="0096015C">
        <w:rPr>
          <w:b/>
          <w:u w:val="single"/>
        </w:rPr>
        <w:t>What is this form?</w:t>
      </w:r>
    </w:p>
    <w:p w:rsidR="00FC2953" w:rsidRDefault="00FC2953" w:rsidP="00FC2953">
      <w:r>
        <w:t>To help the government fight financial crime, Federal regulation requires certain financial</w:t>
      </w:r>
      <w:r w:rsidR="0096015C">
        <w:t xml:space="preserve"> </w:t>
      </w:r>
      <w:r>
        <w:t>institutions to obtain, verify, and record information about the beneficial owners of legal</w:t>
      </w:r>
      <w:r w:rsidR="0096015C">
        <w:t xml:space="preserve"> </w:t>
      </w:r>
      <w:r>
        <w:t xml:space="preserve">entity customers. Legal entities </w:t>
      </w:r>
      <w:proofErr w:type="gramStart"/>
      <w:r>
        <w:t>can be abused</w:t>
      </w:r>
      <w:proofErr w:type="gramEnd"/>
      <w:r>
        <w:t xml:space="preserve"> to disguise involvement in terrorist</w:t>
      </w:r>
      <w:r w:rsidR="0096015C">
        <w:t xml:space="preserve"> </w:t>
      </w:r>
      <w:r>
        <w:t>financing, money laundering, tax evasion, corruption, fraud, and other financial crimes.</w:t>
      </w:r>
      <w:r w:rsidR="0096015C">
        <w:t xml:space="preserve"> </w:t>
      </w:r>
      <w:r>
        <w:t>Requiring the disclosure of key individuals who own or control a legal entity (i.e., the</w:t>
      </w:r>
      <w:r w:rsidR="0096015C">
        <w:t xml:space="preserve"> </w:t>
      </w:r>
      <w:r>
        <w:t>beneficial owners) helps law enforcement investigate and prosecute these crimes.</w:t>
      </w:r>
    </w:p>
    <w:p w:rsidR="00FC2953" w:rsidRPr="0096015C" w:rsidRDefault="00FC2953" w:rsidP="0096015C">
      <w:pPr>
        <w:jc w:val="center"/>
        <w:rPr>
          <w:b/>
          <w:u w:val="single"/>
        </w:rPr>
      </w:pPr>
      <w:r w:rsidRPr="0096015C">
        <w:rPr>
          <w:b/>
          <w:u w:val="single"/>
        </w:rPr>
        <w:t>Who has to complete this form?</w:t>
      </w:r>
    </w:p>
    <w:p w:rsidR="00FC2953" w:rsidRDefault="00FC2953" w:rsidP="00FC2953">
      <w:r>
        <w:t xml:space="preserve">This form </w:t>
      </w:r>
      <w:proofErr w:type="gramStart"/>
      <w:r>
        <w:t>must be completed</w:t>
      </w:r>
      <w:proofErr w:type="gramEnd"/>
      <w:r>
        <w:t xml:space="preserve"> by the person opening a new account on behalf of a legal</w:t>
      </w:r>
      <w:r w:rsidR="0096015C">
        <w:t xml:space="preserve"> </w:t>
      </w:r>
      <w:r>
        <w:t>entity with any of the following U.S. financial institutions: (</w:t>
      </w:r>
      <w:proofErr w:type="spellStart"/>
      <w:r>
        <w:t>i</w:t>
      </w:r>
      <w:proofErr w:type="spellEnd"/>
      <w:r>
        <w:t>) a bank or credit union; (ii)</w:t>
      </w:r>
      <w:r w:rsidR="0096015C">
        <w:t xml:space="preserve"> </w:t>
      </w:r>
      <w:r>
        <w:t>a broker or dealer in securities; (iii) a mutual fund; (iv) a futures commission merchant;</w:t>
      </w:r>
      <w:r w:rsidR="0096015C">
        <w:t xml:space="preserve"> </w:t>
      </w:r>
      <w:r>
        <w:t>or (v) an introducing broker in commodities.</w:t>
      </w:r>
    </w:p>
    <w:p w:rsidR="00FC2953" w:rsidRDefault="00FC2953" w:rsidP="00FC2953">
      <w:r>
        <w:t xml:space="preserve">For the purposes of this form, a </w:t>
      </w:r>
      <w:r w:rsidRPr="0096015C">
        <w:rPr>
          <w:b/>
        </w:rPr>
        <w:t>legal entity</w:t>
      </w:r>
      <w:r>
        <w:t xml:space="preserve"> includes a corporation, limited liability</w:t>
      </w:r>
      <w:r w:rsidR="0096015C">
        <w:t xml:space="preserve"> </w:t>
      </w:r>
      <w:proofErr w:type="gramStart"/>
      <w:r>
        <w:t>company</w:t>
      </w:r>
      <w:proofErr w:type="gramEnd"/>
      <w:r>
        <w:t>, or other entity that is created by a filing of a public document with a Secretary</w:t>
      </w:r>
      <w:r w:rsidR="0096015C">
        <w:t xml:space="preserve"> </w:t>
      </w:r>
      <w:r>
        <w:t>of State or similar office, a general partnership, and any similar business entity formed in</w:t>
      </w:r>
      <w:r w:rsidR="0096015C">
        <w:t xml:space="preserve"> </w:t>
      </w:r>
      <w:r>
        <w:t xml:space="preserve">the United States or a foreign country. </w:t>
      </w:r>
      <w:r w:rsidRPr="0096015C">
        <w:rPr>
          <w:b/>
        </w:rPr>
        <w:t>Legal entity</w:t>
      </w:r>
      <w:r>
        <w:t xml:space="preserve"> does not include sole</w:t>
      </w:r>
      <w:r w:rsidR="0096015C">
        <w:t xml:space="preserve"> </w:t>
      </w:r>
      <w:r>
        <w:t>proprietorships, unincorporated associations, or natural persons opening accounts on their</w:t>
      </w:r>
      <w:r w:rsidR="0096015C">
        <w:t xml:space="preserve"> </w:t>
      </w:r>
      <w:r>
        <w:t>own behalf.</w:t>
      </w:r>
    </w:p>
    <w:p w:rsidR="00FC2953" w:rsidRPr="0096015C" w:rsidRDefault="00FC2953" w:rsidP="0096015C">
      <w:pPr>
        <w:jc w:val="center"/>
        <w:rPr>
          <w:b/>
          <w:u w:val="single"/>
        </w:rPr>
      </w:pPr>
      <w:r w:rsidRPr="0096015C">
        <w:rPr>
          <w:b/>
          <w:u w:val="single"/>
        </w:rPr>
        <w:t>What information do I have to provide?</w:t>
      </w:r>
    </w:p>
    <w:p w:rsidR="00FC2953" w:rsidRDefault="00FC2953" w:rsidP="00FC2953">
      <w:r>
        <w:t>This form requires you to provide the name, address, date of birth and Social Security</w:t>
      </w:r>
      <w:r w:rsidR="0096015C">
        <w:t xml:space="preserve"> </w:t>
      </w:r>
      <w:r>
        <w:t>number (or passport number or other similar information, in the case of foreign persons)</w:t>
      </w:r>
      <w:r w:rsidR="0096015C">
        <w:t xml:space="preserve"> </w:t>
      </w:r>
      <w:r>
        <w:t xml:space="preserve">for the following individuals (i.e., the </w:t>
      </w:r>
      <w:r w:rsidRPr="0096015C">
        <w:rPr>
          <w:b/>
        </w:rPr>
        <w:t>beneficial owners</w:t>
      </w:r>
      <w:r>
        <w:t>):</w:t>
      </w:r>
    </w:p>
    <w:p w:rsidR="00FC2953" w:rsidRDefault="00FC2953" w:rsidP="0096015C">
      <w:pPr>
        <w:pStyle w:val="ListParagraph"/>
        <w:numPr>
          <w:ilvl w:val="1"/>
          <w:numId w:val="14"/>
        </w:numPr>
        <w:ind w:left="720"/>
      </w:pPr>
      <w:r>
        <w:t>Each individual, if any, who owns, directly or indirectly, 25 percent or more of</w:t>
      </w:r>
      <w:r w:rsidR="0096015C">
        <w:t xml:space="preserve"> </w:t>
      </w:r>
      <w:r>
        <w:t>the equity interests of the legal entity customer (e.g., each natural person that</w:t>
      </w:r>
      <w:r w:rsidR="0096015C">
        <w:t xml:space="preserve"> </w:t>
      </w:r>
      <w:r>
        <w:t xml:space="preserve">owns 25 percent or more of the shares of a corporation); </w:t>
      </w:r>
      <w:bookmarkStart w:id="0" w:name="_GoBack"/>
      <w:r w:rsidRPr="00C70DA7">
        <w:rPr>
          <w:b/>
        </w:rPr>
        <w:t>and</w:t>
      </w:r>
      <w:bookmarkEnd w:id="0"/>
    </w:p>
    <w:p w:rsidR="00FC2953" w:rsidRDefault="00FC2953" w:rsidP="0096015C">
      <w:pPr>
        <w:pStyle w:val="ListParagraph"/>
        <w:numPr>
          <w:ilvl w:val="1"/>
          <w:numId w:val="14"/>
        </w:numPr>
        <w:ind w:left="720"/>
      </w:pPr>
      <w:r>
        <w:t>An individual with significant responsibility for managing the legal entity</w:t>
      </w:r>
      <w:r w:rsidR="0096015C">
        <w:t xml:space="preserve"> </w:t>
      </w:r>
      <w:r>
        <w:t>customer (e.g., a Chief Executive Officer, Chief Financial Officer, Chief</w:t>
      </w:r>
      <w:r w:rsidR="0096015C">
        <w:t xml:space="preserve"> </w:t>
      </w:r>
      <w:r>
        <w:t>Operating Officer, Managing Member, General Partner, President, Vice President,</w:t>
      </w:r>
      <w:r w:rsidR="0096015C">
        <w:t xml:space="preserve"> </w:t>
      </w:r>
      <w:r>
        <w:t>or Treasurer).</w:t>
      </w:r>
    </w:p>
    <w:p w:rsidR="00FC2953" w:rsidRDefault="00FC2953" w:rsidP="00FC2953">
      <w:r>
        <w:t>The number of individuals that satisfy this definition of “beneficial owner” may vary.</w:t>
      </w:r>
      <w:r w:rsidR="0096015C">
        <w:t xml:space="preserve">  </w:t>
      </w:r>
      <w:r>
        <w:t>Under section (</w:t>
      </w:r>
      <w:proofErr w:type="spellStart"/>
      <w:r>
        <w:t>i</w:t>
      </w:r>
      <w:proofErr w:type="spellEnd"/>
      <w:r>
        <w:t xml:space="preserve">), depending on the factual circumstances, up to four individuals (but as few as zero) may need to </w:t>
      </w:r>
      <w:proofErr w:type="gramStart"/>
      <w:r>
        <w:t>be identified</w:t>
      </w:r>
      <w:proofErr w:type="gramEnd"/>
      <w:r>
        <w:t>. Regardless of the number of individuals</w:t>
      </w:r>
      <w:r w:rsidR="0096015C">
        <w:t xml:space="preserve"> </w:t>
      </w:r>
      <w:r>
        <w:t>identified under section (</w:t>
      </w:r>
      <w:proofErr w:type="spellStart"/>
      <w:r>
        <w:t>i</w:t>
      </w:r>
      <w:proofErr w:type="spellEnd"/>
      <w:r>
        <w:t>), you must provide the identifying information of one</w:t>
      </w:r>
      <w:r w:rsidR="0096015C">
        <w:t xml:space="preserve"> </w:t>
      </w:r>
      <w:r>
        <w:t xml:space="preserve">individual under section (ii). </w:t>
      </w:r>
      <w:proofErr w:type="gramStart"/>
      <w:r>
        <w:t>It is possible that in some circumstances the same</w:t>
      </w:r>
      <w:r w:rsidR="0096015C">
        <w:t xml:space="preserve"> </w:t>
      </w:r>
      <w:r>
        <w:t>individual might</w:t>
      </w:r>
      <w:proofErr w:type="gramEnd"/>
      <w:r>
        <w:t xml:space="preserve"> be identified under both sections (e.g., the President of Acme, Inc. who</w:t>
      </w:r>
      <w:r w:rsidR="0096015C">
        <w:t xml:space="preserve"> </w:t>
      </w:r>
      <w:r>
        <w:t>also holds a 30% equity interest). Thus, a completed form will contain the identifying</w:t>
      </w:r>
      <w:r w:rsidR="0096015C">
        <w:t xml:space="preserve"> </w:t>
      </w:r>
      <w:r>
        <w:t xml:space="preserve">information of at least one </w:t>
      </w:r>
      <w:r>
        <w:lastRenderedPageBreak/>
        <w:t>individual (under section (ii)), and up to five individuals (i.e.,</w:t>
      </w:r>
      <w:r w:rsidR="0096015C">
        <w:t xml:space="preserve"> </w:t>
      </w:r>
      <w:r>
        <w:t>one individual under section (ii) and four 25 percent equity holders under section (</w:t>
      </w:r>
      <w:proofErr w:type="spellStart"/>
      <w:r>
        <w:t>i</w:t>
      </w:r>
      <w:proofErr w:type="spellEnd"/>
      <w:r>
        <w:t>)).</w:t>
      </w:r>
    </w:p>
    <w:p w:rsidR="00FC2953" w:rsidRDefault="00FC2953" w:rsidP="00FC2953">
      <w:r>
        <w:t>The financial institution may also ask to see a copy of a driver’s license or other</w:t>
      </w:r>
      <w:r w:rsidR="0096015C">
        <w:t xml:space="preserve"> </w:t>
      </w:r>
      <w:r>
        <w:t>identifying document for each beneficial owner listed on this form.</w:t>
      </w:r>
    </w:p>
    <w:p w:rsidR="00FC2953" w:rsidRPr="0096015C" w:rsidRDefault="00FC2953" w:rsidP="00FC2953">
      <w:pPr>
        <w:rPr>
          <w:b/>
        </w:rPr>
      </w:pPr>
      <w:r w:rsidRPr="0096015C">
        <w:rPr>
          <w:b/>
        </w:rPr>
        <w:t>II. CERTIFICATION OF BENEFICIAL OWNER(S)</w:t>
      </w:r>
    </w:p>
    <w:p w:rsidR="00FC2953" w:rsidRPr="006D5455" w:rsidRDefault="00FC2953" w:rsidP="00FC2953">
      <w:pPr>
        <w:rPr>
          <w:b/>
        </w:rPr>
      </w:pPr>
      <w:r w:rsidRPr="006D5455">
        <w:rPr>
          <w:b/>
        </w:rPr>
        <w:t>Persons opening an account on behalf of a legal entity must provide the following</w:t>
      </w:r>
      <w:r w:rsidR="0096015C" w:rsidRPr="006D5455">
        <w:rPr>
          <w:b/>
        </w:rPr>
        <w:t xml:space="preserve"> </w:t>
      </w:r>
      <w:r w:rsidRPr="006D5455">
        <w:rPr>
          <w:b/>
        </w:rPr>
        <w:t>information:</w:t>
      </w:r>
    </w:p>
    <w:p w:rsidR="00FC2953" w:rsidRPr="0096015C" w:rsidRDefault="00FC2953" w:rsidP="00FC2953">
      <w:pPr>
        <w:rPr>
          <w:i/>
        </w:rPr>
      </w:pPr>
      <w:r w:rsidRPr="0096015C">
        <w:rPr>
          <w:i/>
        </w:rPr>
        <w:t>a. Name and Title of Natural Person Opening Account:</w:t>
      </w:r>
    </w:p>
    <w:p w:rsidR="00FC2953" w:rsidRDefault="00FC2953" w:rsidP="00FC2953">
      <w:r>
        <w:t>_______________________________________________________________________</w:t>
      </w:r>
    </w:p>
    <w:p w:rsidR="0096015C" w:rsidRDefault="0096015C" w:rsidP="00FC2953"/>
    <w:p w:rsidR="00FC2953" w:rsidRPr="0096015C" w:rsidRDefault="00FC2953" w:rsidP="00FC2953">
      <w:pPr>
        <w:rPr>
          <w:i/>
        </w:rPr>
      </w:pPr>
      <w:r w:rsidRPr="0096015C">
        <w:rPr>
          <w:i/>
        </w:rPr>
        <w:t>b. Name and Address of Legal Entity for Which the Account is Being Opened:</w:t>
      </w:r>
    </w:p>
    <w:p w:rsidR="00FC2953" w:rsidRDefault="00FC2953" w:rsidP="00FC2953">
      <w:r>
        <w:t>_______________________________________________________________________</w:t>
      </w:r>
    </w:p>
    <w:p w:rsidR="00FC2953" w:rsidRPr="006D5455" w:rsidRDefault="00FC2953" w:rsidP="00FC2953">
      <w:pPr>
        <w:rPr>
          <w:i/>
        </w:rPr>
      </w:pPr>
      <w:r w:rsidRPr="006D5455">
        <w:rPr>
          <w:i/>
        </w:rPr>
        <w:t>c. The following information for each individual, if any, who, directly or indirectly,</w:t>
      </w:r>
      <w:r w:rsidR="006D5455" w:rsidRPr="006D5455">
        <w:rPr>
          <w:i/>
        </w:rPr>
        <w:t xml:space="preserve"> </w:t>
      </w:r>
      <w:r w:rsidRPr="006D5455">
        <w:rPr>
          <w:i/>
        </w:rPr>
        <w:t>through any contract, arrangement, understanding, relationship or otherwise, owns</w:t>
      </w:r>
      <w:r w:rsidR="006D5455" w:rsidRPr="006D5455">
        <w:rPr>
          <w:i/>
        </w:rPr>
        <w:t xml:space="preserve"> </w:t>
      </w:r>
      <w:r w:rsidRPr="006D5455">
        <w:rPr>
          <w:i/>
        </w:rPr>
        <w:t xml:space="preserve">25 percent or more of the equity interests of the legal entity listed </w:t>
      </w:r>
      <w:proofErr w:type="gramStart"/>
      <w:r w:rsidRPr="006D5455">
        <w:rPr>
          <w:i/>
        </w:rPr>
        <w:t>above</w:t>
      </w:r>
      <w:proofErr w:type="gramEnd"/>
      <w:r w:rsidRPr="006D5455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5455" w:rsidTr="006D5455">
        <w:tc>
          <w:tcPr>
            <w:tcW w:w="1915" w:type="dxa"/>
          </w:tcPr>
          <w:p w:rsidR="006D5455" w:rsidRDefault="006D5455" w:rsidP="006D5455">
            <w:pPr>
              <w:jc w:val="center"/>
            </w:pPr>
            <w:r>
              <w:t>Name</w:t>
            </w:r>
          </w:p>
        </w:tc>
        <w:tc>
          <w:tcPr>
            <w:tcW w:w="1915" w:type="dxa"/>
          </w:tcPr>
          <w:p w:rsidR="006D5455" w:rsidRDefault="006D5455" w:rsidP="006D5455">
            <w:pPr>
              <w:jc w:val="center"/>
            </w:pPr>
            <w:r>
              <w:t>Date of Birth</w:t>
            </w:r>
          </w:p>
        </w:tc>
        <w:tc>
          <w:tcPr>
            <w:tcW w:w="1915" w:type="dxa"/>
          </w:tcPr>
          <w:p w:rsidR="006D5455" w:rsidRDefault="006D5455" w:rsidP="006D5455">
            <w:pPr>
              <w:jc w:val="center"/>
            </w:pPr>
            <w:r>
              <w:t>Address (Residential or Business Street</w:t>
            </w:r>
            <w:r w:rsidR="00C04D03">
              <w:t xml:space="preserve"> Address)</w:t>
            </w:r>
          </w:p>
        </w:tc>
        <w:tc>
          <w:tcPr>
            <w:tcW w:w="1915" w:type="dxa"/>
          </w:tcPr>
          <w:p w:rsidR="006D5455" w:rsidRPr="006D5455" w:rsidRDefault="006D5455" w:rsidP="006D5455">
            <w:pPr>
              <w:jc w:val="center"/>
            </w:pPr>
            <w:r>
              <w:rPr>
                <w:i/>
              </w:rPr>
              <w:t>For U.S. Persons:</w:t>
            </w:r>
            <w:r>
              <w:t xml:space="preserve"> Social Security</w:t>
            </w:r>
            <w:r w:rsidR="00C04D03">
              <w:t xml:space="preserve"> Number</w:t>
            </w:r>
          </w:p>
        </w:tc>
        <w:tc>
          <w:tcPr>
            <w:tcW w:w="1916" w:type="dxa"/>
          </w:tcPr>
          <w:p w:rsidR="006D5455" w:rsidRPr="006D5455" w:rsidRDefault="006D5455" w:rsidP="006D5455">
            <w:pPr>
              <w:jc w:val="center"/>
              <w:rPr>
                <w:vertAlign w:val="superscript"/>
              </w:rPr>
            </w:pPr>
            <w:r>
              <w:rPr>
                <w:i/>
              </w:rPr>
              <w:t>For Foreign Persons:</w:t>
            </w:r>
            <w:r>
              <w:t xml:space="preserve">  Passport Number and Country of Issuance, or other similar identification number</w:t>
            </w:r>
            <w:r>
              <w:rPr>
                <w:vertAlign w:val="superscript"/>
              </w:rPr>
              <w:t>1</w:t>
            </w:r>
          </w:p>
        </w:tc>
      </w:tr>
      <w:tr w:rsidR="006D5455" w:rsidTr="006D5455"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6" w:type="dxa"/>
          </w:tcPr>
          <w:p w:rsidR="006D5455" w:rsidRDefault="006D5455" w:rsidP="00FC2953"/>
        </w:tc>
      </w:tr>
      <w:tr w:rsidR="006D5455" w:rsidTr="006D5455"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6" w:type="dxa"/>
          </w:tcPr>
          <w:p w:rsidR="006D5455" w:rsidRDefault="006D5455" w:rsidP="00FC2953"/>
        </w:tc>
      </w:tr>
      <w:tr w:rsidR="006D5455" w:rsidTr="006D5455"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6" w:type="dxa"/>
          </w:tcPr>
          <w:p w:rsidR="006D5455" w:rsidRDefault="006D5455" w:rsidP="00FC2953"/>
        </w:tc>
      </w:tr>
      <w:tr w:rsidR="006D5455" w:rsidTr="006D5455"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5" w:type="dxa"/>
          </w:tcPr>
          <w:p w:rsidR="006D5455" w:rsidRDefault="006D5455" w:rsidP="00FC2953"/>
        </w:tc>
        <w:tc>
          <w:tcPr>
            <w:tcW w:w="1916" w:type="dxa"/>
          </w:tcPr>
          <w:p w:rsidR="006D5455" w:rsidRDefault="006D5455" w:rsidP="00FC2953"/>
        </w:tc>
      </w:tr>
    </w:tbl>
    <w:p w:rsidR="00FC2953" w:rsidRDefault="00FC2953" w:rsidP="006D5455">
      <w:pPr>
        <w:jc w:val="center"/>
      </w:pPr>
      <w:r>
        <w:t>(If no individual meets this definition, please write “Not Applicable.”)</w:t>
      </w:r>
    </w:p>
    <w:p w:rsidR="00FC2953" w:rsidRPr="006D5455" w:rsidRDefault="00FC2953" w:rsidP="00FC2953">
      <w:pPr>
        <w:rPr>
          <w:i/>
        </w:rPr>
      </w:pPr>
      <w:r w:rsidRPr="006D5455">
        <w:rPr>
          <w:i/>
        </w:rPr>
        <w:t>d. The following information for one individual with significant responsibility for</w:t>
      </w:r>
      <w:r w:rsidR="006D5455" w:rsidRPr="006D5455">
        <w:rPr>
          <w:i/>
        </w:rPr>
        <w:t xml:space="preserve"> </w:t>
      </w:r>
      <w:r w:rsidRPr="006D5455">
        <w:rPr>
          <w:i/>
        </w:rPr>
        <w:t>managing the legal entity listed above, such as:</w:t>
      </w:r>
    </w:p>
    <w:p w:rsidR="00FC2953" w:rsidRPr="006D5455" w:rsidRDefault="006D5455" w:rsidP="006D5455">
      <w:pPr>
        <w:ind w:left="360"/>
        <w:rPr>
          <w:i/>
        </w:rPr>
      </w:pPr>
      <w:r>
        <w:rPr>
          <w:rFonts w:ascii="Wingdings" w:hAnsi="Wingdings"/>
        </w:rPr>
        <w:t></w:t>
      </w:r>
      <w:r>
        <w:rPr>
          <w:i/>
        </w:rPr>
        <w:t xml:space="preserve"> </w:t>
      </w:r>
      <w:r w:rsidR="00FC2953" w:rsidRPr="006D5455">
        <w:rPr>
          <w:i/>
        </w:rPr>
        <w:t>An executive officer or senior manager (e.g., Chief Executive Officer, Chief</w:t>
      </w:r>
      <w:r w:rsidRPr="006D5455">
        <w:rPr>
          <w:i/>
        </w:rPr>
        <w:t xml:space="preserve"> </w:t>
      </w:r>
      <w:r w:rsidR="00FC2953" w:rsidRPr="006D5455">
        <w:rPr>
          <w:i/>
        </w:rPr>
        <w:t>Financial Officer, Chief Operating Officer, Managing Member, General</w:t>
      </w:r>
      <w:r w:rsidRPr="006D5455">
        <w:rPr>
          <w:i/>
        </w:rPr>
        <w:t xml:space="preserve"> </w:t>
      </w:r>
      <w:r w:rsidR="00FC2953" w:rsidRPr="006D5455">
        <w:rPr>
          <w:i/>
        </w:rPr>
        <w:t>Partner, President, Vice President, Treasurer); or</w:t>
      </w:r>
    </w:p>
    <w:p w:rsidR="00FC2953" w:rsidRDefault="006D5455" w:rsidP="006D5455">
      <w:pPr>
        <w:ind w:left="360"/>
      </w:pPr>
      <w:proofErr w:type="gramStart"/>
      <w:r>
        <w:rPr>
          <w:rFonts w:ascii="Wingdings" w:hAnsi="Wingdings"/>
        </w:rPr>
        <w:t></w:t>
      </w:r>
      <w:r>
        <w:t xml:space="preserve">  </w:t>
      </w:r>
      <w:r w:rsidR="00FC2953" w:rsidRPr="006D5455">
        <w:rPr>
          <w:i/>
        </w:rPr>
        <w:t>Any</w:t>
      </w:r>
      <w:proofErr w:type="gramEnd"/>
      <w:r w:rsidR="00FC2953" w:rsidRPr="006D5455">
        <w:rPr>
          <w:i/>
        </w:rPr>
        <w:t xml:space="preserve"> other individual who regularly performs similar functions</w:t>
      </w:r>
      <w:r w:rsidR="00FC2953">
        <w:t>.</w:t>
      </w:r>
    </w:p>
    <w:p w:rsidR="00FC2953" w:rsidRDefault="00FC2953" w:rsidP="006D5455">
      <w:pPr>
        <w:ind w:left="360"/>
      </w:pPr>
      <w:r>
        <w:t xml:space="preserve">(If appropriate, an individual listed under section (c) above </w:t>
      </w:r>
      <w:proofErr w:type="gramStart"/>
      <w:r>
        <w:t>may also be listed</w:t>
      </w:r>
      <w:proofErr w:type="gramEnd"/>
      <w:r w:rsidR="006D5455">
        <w:t xml:space="preserve"> </w:t>
      </w:r>
      <w:r>
        <w:t>in this section (d)).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04D03" w:rsidTr="00C04D03">
        <w:tc>
          <w:tcPr>
            <w:tcW w:w="1915" w:type="dxa"/>
          </w:tcPr>
          <w:p w:rsidR="00C04D03" w:rsidRDefault="00C04D03" w:rsidP="00C04D03">
            <w:pPr>
              <w:jc w:val="center"/>
            </w:pPr>
            <w:r>
              <w:lastRenderedPageBreak/>
              <w:t>Name/Title</w:t>
            </w:r>
          </w:p>
        </w:tc>
        <w:tc>
          <w:tcPr>
            <w:tcW w:w="1915" w:type="dxa"/>
          </w:tcPr>
          <w:p w:rsidR="00C04D03" w:rsidRDefault="00C04D03" w:rsidP="00C04D03">
            <w:pPr>
              <w:jc w:val="center"/>
            </w:pPr>
            <w:r>
              <w:t>Date of Birth</w:t>
            </w:r>
          </w:p>
        </w:tc>
        <w:tc>
          <w:tcPr>
            <w:tcW w:w="1915" w:type="dxa"/>
          </w:tcPr>
          <w:p w:rsidR="00C04D03" w:rsidRDefault="00C04D03" w:rsidP="00C04D03">
            <w:pPr>
              <w:jc w:val="center"/>
            </w:pPr>
            <w:r>
              <w:t>Address (Residential or Business Street Address)</w:t>
            </w:r>
          </w:p>
        </w:tc>
        <w:tc>
          <w:tcPr>
            <w:tcW w:w="1915" w:type="dxa"/>
          </w:tcPr>
          <w:p w:rsidR="00C04D03" w:rsidRPr="00C04D03" w:rsidRDefault="00C04D03" w:rsidP="00C04D03">
            <w:pPr>
              <w:jc w:val="center"/>
              <w:rPr>
                <w:i/>
              </w:rPr>
            </w:pPr>
            <w:r>
              <w:rPr>
                <w:i/>
              </w:rPr>
              <w:t xml:space="preserve">For U.S. Persons: </w:t>
            </w:r>
            <w:r w:rsidRPr="00C04D03">
              <w:t>Social Security Number</w:t>
            </w:r>
          </w:p>
        </w:tc>
        <w:tc>
          <w:tcPr>
            <w:tcW w:w="1916" w:type="dxa"/>
          </w:tcPr>
          <w:p w:rsidR="00C04D03" w:rsidRPr="00C04D03" w:rsidRDefault="00C04D03" w:rsidP="00C04D03">
            <w:pPr>
              <w:jc w:val="center"/>
              <w:rPr>
                <w:vertAlign w:val="superscript"/>
              </w:rPr>
            </w:pPr>
            <w:r>
              <w:rPr>
                <w:i/>
              </w:rPr>
              <w:t>For Foreign Persons:</w:t>
            </w:r>
            <w:r>
              <w:t xml:space="preserve">  Passport Number and Country of Issuance, or other similar identification number</w:t>
            </w:r>
            <w:r>
              <w:rPr>
                <w:vertAlign w:val="superscript"/>
              </w:rPr>
              <w:t>1</w:t>
            </w:r>
          </w:p>
        </w:tc>
      </w:tr>
      <w:tr w:rsidR="00C04D03" w:rsidTr="00C04D03">
        <w:tc>
          <w:tcPr>
            <w:tcW w:w="1915" w:type="dxa"/>
          </w:tcPr>
          <w:p w:rsidR="00C04D03" w:rsidRDefault="00C04D03" w:rsidP="00FC2953"/>
        </w:tc>
        <w:tc>
          <w:tcPr>
            <w:tcW w:w="1915" w:type="dxa"/>
          </w:tcPr>
          <w:p w:rsidR="00C04D03" w:rsidRDefault="00C04D03" w:rsidP="00FC2953"/>
        </w:tc>
        <w:tc>
          <w:tcPr>
            <w:tcW w:w="1915" w:type="dxa"/>
          </w:tcPr>
          <w:p w:rsidR="00C04D03" w:rsidRDefault="00C04D03" w:rsidP="00FC2953"/>
        </w:tc>
        <w:tc>
          <w:tcPr>
            <w:tcW w:w="1915" w:type="dxa"/>
          </w:tcPr>
          <w:p w:rsidR="00C04D03" w:rsidRDefault="00C04D03" w:rsidP="00FC2953"/>
        </w:tc>
        <w:tc>
          <w:tcPr>
            <w:tcW w:w="1916" w:type="dxa"/>
          </w:tcPr>
          <w:p w:rsidR="00C04D03" w:rsidRDefault="00C04D03" w:rsidP="00FC2953"/>
        </w:tc>
      </w:tr>
    </w:tbl>
    <w:p w:rsidR="006D5455" w:rsidRDefault="006D5455" w:rsidP="00FC2953"/>
    <w:p w:rsidR="00FC2953" w:rsidRPr="00C04D03" w:rsidRDefault="00FC2953" w:rsidP="00FC2953">
      <w:pPr>
        <w:rPr>
          <w:b/>
        </w:rPr>
      </w:pPr>
      <w:r w:rsidRPr="00C04D03">
        <w:rPr>
          <w:b/>
        </w:rPr>
        <w:t>I, ________________ (name of natural person opening account), hereby certify, to the</w:t>
      </w:r>
      <w:r w:rsidR="006D5455" w:rsidRPr="00C04D03">
        <w:rPr>
          <w:b/>
        </w:rPr>
        <w:t xml:space="preserve"> </w:t>
      </w:r>
      <w:r w:rsidRPr="00C04D03">
        <w:rPr>
          <w:b/>
        </w:rPr>
        <w:t>best of my knowledge, that the information provided above is complete and correct.</w:t>
      </w:r>
    </w:p>
    <w:p w:rsidR="00FC2953" w:rsidRDefault="00FC2953" w:rsidP="00FC2953">
      <w:r>
        <w:t>Signature: ______________________________________ Date: ___________________</w:t>
      </w:r>
    </w:p>
    <w:p w:rsidR="00FC2953" w:rsidRDefault="00FC2953" w:rsidP="00FC2953">
      <w:r>
        <w:t>_________________________________</w:t>
      </w:r>
    </w:p>
    <w:p w:rsidR="00FC2953" w:rsidRDefault="00FC2953" w:rsidP="00FC2953">
      <w:r w:rsidRPr="00C04D03">
        <w:rPr>
          <w:vertAlign w:val="superscript"/>
        </w:rPr>
        <w:t>1</w:t>
      </w:r>
      <w:r>
        <w:t xml:space="preserve"> In lieu of a passport number, foreign persons may also provide an alien identification</w:t>
      </w:r>
      <w:r w:rsidR="00C04D03">
        <w:t xml:space="preserve"> </w:t>
      </w:r>
      <w:r>
        <w:t>card number, or number and country of issuance of any other government-issued</w:t>
      </w:r>
      <w:r w:rsidR="00C04D03">
        <w:t xml:space="preserve"> </w:t>
      </w:r>
      <w:r>
        <w:t>document evidencing nationality or residence and bearing a photograph or similar</w:t>
      </w:r>
      <w:r w:rsidR="00C04D03">
        <w:t xml:space="preserve"> </w:t>
      </w:r>
      <w:r>
        <w:t>safeguard.</w:t>
      </w:r>
    </w:p>
    <w:p w:rsidR="00FC2953" w:rsidRDefault="00FC2953" w:rsidP="00FC2953">
      <w:r>
        <w:t>Legal Entity Identifier _________________ (Optional)</w:t>
      </w:r>
    </w:p>
    <w:p w:rsidR="00FC2953" w:rsidRDefault="00FC2953" w:rsidP="00FC2953"/>
    <w:p w:rsidR="00C04D03" w:rsidRDefault="00C04D03">
      <w:r>
        <w:br w:type="page"/>
      </w:r>
    </w:p>
    <w:p w:rsidR="00FC2953" w:rsidRDefault="00FC2953" w:rsidP="00187320">
      <w:pPr>
        <w:jc w:val="center"/>
      </w:pPr>
      <w:r>
        <w:lastRenderedPageBreak/>
        <w:t>PART 1020-RULES FOR BANKS</w:t>
      </w:r>
    </w:p>
    <w:p w:rsidR="00FC2953" w:rsidRDefault="00FC2953" w:rsidP="00FC2953">
      <w:r>
        <w:t>3. The authority citation for part 1020 continues to read as follows:</w:t>
      </w:r>
    </w:p>
    <w:p w:rsidR="00FC2953" w:rsidRDefault="00FC2953" w:rsidP="00FC2953">
      <w:r>
        <w:t>Authority: 12 U.S.C. 1829b and 1951-1959; 31 U.S.C. 5311-5314 and 5316-5332; title</w:t>
      </w:r>
      <w:r w:rsidR="00187320">
        <w:t xml:space="preserve"> </w:t>
      </w:r>
      <w:r>
        <w:t xml:space="preserve">III, sec. 314 Pub. </w:t>
      </w:r>
      <w:proofErr w:type="gramStart"/>
      <w:r>
        <w:t>L. 107-56, 115 Stat. 307.</w:t>
      </w:r>
      <w:proofErr w:type="gramEnd"/>
    </w:p>
    <w:p w:rsidR="00FC2953" w:rsidRDefault="00FC2953" w:rsidP="00FC2953">
      <w:r>
        <w:t>4. Revise § 1020.210 to read as follows:</w:t>
      </w:r>
    </w:p>
    <w:p w:rsidR="00FC2953" w:rsidRPr="00187320" w:rsidRDefault="00FC2953" w:rsidP="00FC2953">
      <w:pPr>
        <w:rPr>
          <w:b/>
        </w:rPr>
      </w:pPr>
      <w:r w:rsidRPr="00187320">
        <w:rPr>
          <w:b/>
        </w:rPr>
        <w:t>§1020.210 Anti-money laundering program requirements for financial institutions</w:t>
      </w:r>
      <w:r w:rsidR="00187320" w:rsidRPr="00187320">
        <w:rPr>
          <w:b/>
        </w:rPr>
        <w:t xml:space="preserve"> </w:t>
      </w:r>
      <w:r w:rsidRPr="00187320">
        <w:rPr>
          <w:b/>
        </w:rPr>
        <w:t>regulated only by a Federal functional regulator, including banks, savings</w:t>
      </w:r>
      <w:r w:rsidR="00187320" w:rsidRPr="00187320">
        <w:rPr>
          <w:b/>
        </w:rPr>
        <w:t xml:space="preserve"> </w:t>
      </w:r>
      <w:r w:rsidRPr="00187320">
        <w:rPr>
          <w:b/>
        </w:rPr>
        <w:t>associations, and credit unions.</w:t>
      </w:r>
    </w:p>
    <w:p w:rsidR="00FC2953" w:rsidRDefault="00FC2953" w:rsidP="00187320">
      <w:pPr>
        <w:spacing w:after="0" w:line="240" w:lineRule="auto"/>
      </w:pPr>
      <w:r>
        <w:t>A financial institution regulated by a Federal functional regulator that is not subject to the</w:t>
      </w:r>
      <w:r w:rsidR="00187320">
        <w:t xml:space="preserve"> </w:t>
      </w:r>
      <w:r>
        <w:t>regulations of a self-regulatory organization shall be deemed to satisfy the requirements</w:t>
      </w:r>
      <w:r w:rsidR="00187320">
        <w:t xml:space="preserve"> </w:t>
      </w:r>
      <w:r>
        <w:t>of 31 U.S.C. 5318(h)(1) if the financial institution implements and maintains an anti</w:t>
      </w:r>
      <w:r w:rsidR="00187320">
        <w:t>-</w:t>
      </w:r>
      <w:r>
        <w:t>money</w:t>
      </w:r>
      <w:r w:rsidR="00187320">
        <w:t xml:space="preserve"> </w:t>
      </w:r>
      <w:r>
        <w:t>laundering program that:</w:t>
      </w:r>
    </w:p>
    <w:p w:rsidR="00FC2953" w:rsidRDefault="00FC2953" w:rsidP="00187320">
      <w:pPr>
        <w:pStyle w:val="ListParagraph"/>
        <w:numPr>
          <w:ilvl w:val="1"/>
          <w:numId w:val="11"/>
        </w:numPr>
        <w:spacing w:after="0" w:line="240" w:lineRule="auto"/>
        <w:ind w:left="360"/>
      </w:pPr>
      <w:r>
        <w:t>Complies with the requirements of §§ 1010.610 and 1010.620 of this chapter;</w:t>
      </w:r>
    </w:p>
    <w:p w:rsidR="00FC2953" w:rsidRDefault="00FC2953" w:rsidP="00187320">
      <w:pPr>
        <w:pStyle w:val="ListParagraph"/>
        <w:numPr>
          <w:ilvl w:val="1"/>
          <w:numId w:val="11"/>
        </w:numPr>
        <w:spacing w:after="0" w:line="240" w:lineRule="auto"/>
        <w:ind w:left="360"/>
      </w:pPr>
      <w:r>
        <w:t>Includes, at a minimum:</w:t>
      </w:r>
    </w:p>
    <w:p w:rsidR="00FC2953" w:rsidRDefault="00FC2953" w:rsidP="00187320">
      <w:pPr>
        <w:pStyle w:val="ListParagraph"/>
        <w:numPr>
          <w:ilvl w:val="0"/>
          <w:numId w:val="19"/>
        </w:numPr>
        <w:spacing w:after="0" w:line="240" w:lineRule="auto"/>
      </w:pPr>
      <w:r>
        <w:t>A system of internal controls to assure ongoing compliance;</w:t>
      </w:r>
    </w:p>
    <w:p w:rsidR="00FC2953" w:rsidRDefault="00FC2953" w:rsidP="00187320">
      <w:pPr>
        <w:pStyle w:val="ListParagraph"/>
        <w:numPr>
          <w:ilvl w:val="0"/>
          <w:numId w:val="19"/>
        </w:numPr>
        <w:spacing w:after="0" w:line="240" w:lineRule="auto"/>
      </w:pPr>
      <w:r>
        <w:t>Independent testing for compliance to be conducted by bank personnel</w:t>
      </w:r>
      <w:r w:rsidR="00187320">
        <w:t xml:space="preserve"> </w:t>
      </w:r>
      <w:r>
        <w:t>or by an outside party;</w:t>
      </w:r>
    </w:p>
    <w:p w:rsidR="00FC2953" w:rsidRDefault="00FC2953" w:rsidP="00187320">
      <w:pPr>
        <w:pStyle w:val="ListParagraph"/>
        <w:numPr>
          <w:ilvl w:val="0"/>
          <w:numId w:val="19"/>
        </w:numPr>
        <w:spacing w:after="0" w:line="240" w:lineRule="auto"/>
      </w:pPr>
      <w:r>
        <w:t>Designation of an individual or individuals responsible for</w:t>
      </w:r>
      <w:r w:rsidR="00187320">
        <w:t xml:space="preserve"> </w:t>
      </w:r>
      <w:r>
        <w:t>coordinating and monitoring day-to-day compliance;</w:t>
      </w:r>
    </w:p>
    <w:p w:rsidR="00FC2953" w:rsidRDefault="00FC2953" w:rsidP="00187320">
      <w:pPr>
        <w:pStyle w:val="ListParagraph"/>
        <w:numPr>
          <w:ilvl w:val="0"/>
          <w:numId w:val="19"/>
        </w:numPr>
        <w:spacing w:after="0" w:line="240" w:lineRule="auto"/>
      </w:pPr>
      <w:r>
        <w:t>Training for appropriate personnel; and</w:t>
      </w:r>
    </w:p>
    <w:p w:rsidR="00FC2953" w:rsidRDefault="00FC2953" w:rsidP="00187320">
      <w:pPr>
        <w:pStyle w:val="ListParagraph"/>
        <w:numPr>
          <w:ilvl w:val="0"/>
          <w:numId w:val="19"/>
        </w:numPr>
        <w:spacing w:after="0" w:line="240" w:lineRule="auto"/>
      </w:pPr>
      <w:r>
        <w:t>Appropriate risk-based procedures for conducting ongoing customer</w:t>
      </w:r>
      <w:r w:rsidR="00187320">
        <w:t xml:space="preserve"> </w:t>
      </w:r>
      <w:r>
        <w:t>due diligence, to include, but not be limited to:</w:t>
      </w:r>
    </w:p>
    <w:p w:rsidR="00FC2953" w:rsidRDefault="00FC2953" w:rsidP="00187320">
      <w:pPr>
        <w:pStyle w:val="ListParagraph"/>
        <w:numPr>
          <w:ilvl w:val="0"/>
          <w:numId w:val="20"/>
        </w:numPr>
        <w:spacing w:after="0" w:line="240" w:lineRule="auto"/>
        <w:ind w:hanging="360"/>
      </w:pPr>
      <w:r>
        <w:t>Understanding the nature and purpose of customer</w:t>
      </w:r>
      <w:r w:rsidR="00187320">
        <w:t xml:space="preserve"> </w:t>
      </w:r>
      <w:r>
        <w:t>relationships for the purpose of developing a customer risk</w:t>
      </w:r>
      <w:r w:rsidR="00187320">
        <w:t xml:space="preserve"> </w:t>
      </w:r>
      <w:r>
        <w:t>profile; and</w:t>
      </w:r>
    </w:p>
    <w:p w:rsidR="00FC2953" w:rsidRDefault="00FC2953" w:rsidP="00187320">
      <w:pPr>
        <w:pStyle w:val="ListParagraph"/>
        <w:numPr>
          <w:ilvl w:val="0"/>
          <w:numId w:val="20"/>
        </w:numPr>
        <w:spacing w:after="0" w:line="240" w:lineRule="auto"/>
        <w:ind w:hanging="360"/>
      </w:pPr>
      <w:r>
        <w:t>Conducting ongoing monitoring to identify and report</w:t>
      </w:r>
      <w:r w:rsidR="00187320">
        <w:t xml:space="preserve"> </w:t>
      </w:r>
      <w:r>
        <w:t>suspicious transactions and, on a risk basis, to maintain and</w:t>
      </w:r>
      <w:r w:rsidR="00187320">
        <w:t xml:space="preserve"> </w:t>
      </w:r>
      <w:r>
        <w:t>update customer information. For purposes of this paragraph</w:t>
      </w:r>
      <w:r w:rsidR="00187320">
        <w:t xml:space="preserve"> </w:t>
      </w:r>
      <w:r>
        <w:t>(b)(5)(ii), customer information shall include information</w:t>
      </w:r>
      <w:r w:rsidR="00187320">
        <w:t xml:space="preserve"> </w:t>
      </w:r>
      <w:r>
        <w:t>regarding the beneficial owners of legal entity customers (as</w:t>
      </w:r>
      <w:r w:rsidR="00187320">
        <w:t xml:space="preserve"> </w:t>
      </w:r>
      <w:r>
        <w:t>defined in §1010.230 of this chapter); and</w:t>
      </w:r>
    </w:p>
    <w:p w:rsidR="00FC2953" w:rsidRDefault="00FC2953" w:rsidP="00FC2953">
      <w:r>
        <w:t>(</w:t>
      </w:r>
      <w:proofErr w:type="gramStart"/>
      <w:r>
        <w:t>c</w:t>
      </w:r>
      <w:proofErr w:type="gramEnd"/>
      <w:r>
        <w:t>) Complies with the regulation of its Federal functional regulator governing</w:t>
      </w:r>
      <w:r w:rsidR="00187320">
        <w:t xml:space="preserve"> </w:t>
      </w:r>
      <w:r>
        <w:t>such programs.</w:t>
      </w:r>
    </w:p>
    <w:p w:rsidR="00FC2953" w:rsidRDefault="00FC2953" w:rsidP="00187320">
      <w:pPr>
        <w:jc w:val="center"/>
      </w:pPr>
      <w:r>
        <w:t>PART 1023-RULES FOR BROKERS OR DEALERS IN SECURITIES</w:t>
      </w:r>
    </w:p>
    <w:p w:rsidR="00FC2953" w:rsidRDefault="00FC2953" w:rsidP="00FC2953">
      <w:r>
        <w:t>5. The authority citation for part 1023 continues to read as follows:</w:t>
      </w:r>
    </w:p>
    <w:p w:rsidR="00FC2953" w:rsidRDefault="00FC2953" w:rsidP="00FC2953">
      <w:r>
        <w:t>Authority: 12 U.S.C. 1829b and 1951-1959; 31 U.S.C. 5311-5314 and 5316-5332; title</w:t>
      </w:r>
      <w:r w:rsidR="00C70DA7">
        <w:t xml:space="preserve"> </w:t>
      </w:r>
      <w:r>
        <w:t xml:space="preserve">III, sec. 314 Pub. </w:t>
      </w:r>
      <w:proofErr w:type="gramStart"/>
      <w:r>
        <w:t>L. 107-56, 115 Stat. 307.</w:t>
      </w:r>
      <w:proofErr w:type="gramEnd"/>
    </w:p>
    <w:p w:rsidR="00FC2953" w:rsidRDefault="00FC2953" w:rsidP="00FC2953">
      <w:r>
        <w:t>6. Revise</w:t>
      </w:r>
      <w:r w:rsidR="00187320">
        <w:t xml:space="preserve"> § 1023.210 to read as follows:</w:t>
      </w:r>
    </w:p>
    <w:p w:rsidR="00FC2953" w:rsidRPr="00187320" w:rsidRDefault="00FC2953" w:rsidP="00FC2953">
      <w:pPr>
        <w:rPr>
          <w:b/>
        </w:rPr>
      </w:pPr>
      <w:proofErr w:type="gramStart"/>
      <w:r w:rsidRPr="00187320">
        <w:rPr>
          <w:b/>
        </w:rPr>
        <w:t>§1023.210 Anti-money laundering program requirements for brokers or dealers in</w:t>
      </w:r>
      <w:r w:rsidR="00187320" w:rsidRPr="00187320">
        <w:rPr>
          <w:b/>
        </w:rPr>
        <w:t xml:space="preserve"> </w:t>
      </w:r>
      <w:r w:rsidRPr="00187320">
        <w:rPr>
          <w:b/>
        </w:rPr>
        <w:t>securities.</w:t>
      </w:r>
      <w:proofErr w:type="gramEnd"/>
    </w:p>
    <w:p w:rsidR="00FC2953" w:rsidRDefault="00FC2953" w:rsidP="00FC2953">
      <w:r>
        <w:t xml:space="preserve">A broker or dealer in securities </w:t>
      </w:r>
      <w:proofErr w:type="gramStart"/>
      <w:r>
        <w:t>shall be deemed</w:t>
      </w:r>
      <w:proofErr w:type="gramEnd"/>
      <w:r>
        <w:t xml:space="preserve"> to satisfy the requirements of 31 U.S.C.</w:t>
      </w:r>
    </w:p>
    <w:p w:rsidR="00FC2953" w:rsidRDefault="00FC2953" w:rsidP="00FC2953">
      <w:r>
        <w:t>5318(h</w:t>
      </w:r>
      <w:proofErr w:type="gramStart"/>
      <w:r>
        <w:t>)(</w:t>
      </w:r>
      <w:proofErr w:type="gramEnd"/>
      <w:r>
        <w:t>1) if the broker-dealer implements and maintains a written anti-money</w:t>
      </w:r>
      <w:r w:rsidR="00187320">
        <w:t xml:space="preserve"> </w:t>
      </w:r>
      <w:r>
        <w:t>laundering program approved by senior management that:</w:t>
      </w:r>
    </w:p>
    <w:p w:rsidR="00FC2953" w:rsidRDefault="00FC2953" w:rsidP="00172189">
      <w:pPr>
        <w:pStyle w:val="ListParagraph"/>
        <w:numPr>
          <w:ilvl w:val="1"/>
          <w:numId w:val="19"/>
        </w:numPr>
        <w:ind w:left="360"/>
      </w:pPr>
      <w:r>
        <w:lastRenderedPageBreak/>
        <w:t>Complies with the requirements of §§ 1010.610 and 1010.620 of this chapter</w:t>
      </w:r>
      <w:r w:rsidR="00187320">
        <w:t xml:space="preserve"> </w:t>
      </w:r>
      <w:r>
        <w:t>and any applicable regulation of its Federal functional regulator governing the</w:t>
      </w:r>
      <w:r w:rsidR="00187320">
        <w:t xml:space="preserve"> </w:t>
      </w:r>
      <w:r>
        <w:t>establishment and implementation of anti-money laundering programs;</w:t>
      </w:r>
    </w:p>
    <w:p w:rsidR="00FC2953" w:rsidRDefault="00FC2953" w:rsidP="00172189">
      <w:pPr>
        <w:pStyle w:val="ListParagraph"/>
        <w:numPr>
          <w:ilvl w:val="1"/>
          <w:numId w:val="19"/>
        </w:numPr>
        <w:ind w:left="360"/>
      </w:pPr>
      <w:r>
        <w:t>Includes, at a minimum:</w:t>
      </w:r>
    </w:p>
    <w:p w:rsidR="00FC2953" w:rsidRDefault="00FC2953" w:rsidP="00172189">
      <w:pPr>
        <w:pStyle w:val="ListParagraph"/>
        <w:numPr>
          <w:ilvl w:val="0"/>
          <w:numId w:val="22"/>
        </w:numPr>
      </w:pPr>
      <w:r>
        <w:t>The establishment and implementation of policies, procedures, and</w:t>
      </w:r>
      <w:r w:rsidR="00187320">
        <w:t xml:space="preserve"> </w:t>
      </w:r>
      <w:r>
        <w:t>internal controls reasonably designed to achieve compliance with the</w:t>
      </w:r>
      <w:r w:rsidR="00187320">
        <w:t xml:space="preserve"> </w:t>
      </w:r>
      <w:r>
        <w:t>applicable provisions of the Bank Secrecy Act and the implementing</w:t>
      </w:r>
      <w:r w:rsidR="00187320">
        <w:t xml:space="preserve"> </w:t>
      </w:r>
      <w:r>
        <w:t>regulations thereunder;</w:t>
      </w:r>
    </w:p>
    <w:p w:rsidR="00FC2953" w:rsidRDefault="00FC2953" w:rsidP="00172189">
      <w:pPr>
        <w:pStyle w:val="ListParagraph"/>
        <w:numPr>
          <w:ilvl w:val="0"/>
          <w:numId w:val="22"/>
        </w:numPr>
      </w:pPr>
      <w:r>
        <w:t xml:space="preserve">Independent testing for compliance to be conducted by the </w:t>
      </w:r>
      <w:proofErr w:type="spellStart"/>
      <w:r>
        <w:t>brokerdealer’s</w:t>
      </w:r>
      <w:proofErr w:type="spellEnd"/>
      <w:r w:rsidR="00187320">
        <w:t xml:space="preserve"> </w:t>
      </w:r>
      <w:r>
        <w:t>personnel or by a qualified outside party;</w:t>
      </w:r>
    </w:p>
    <w:p w:rsidR="00FC2953" w:rsidRDefault="00FC2953" w:rsidP="00172189">
      <w:pPr>
        <w:pStyle w:val="ListParagraph"/>
        <w:numPr>
          <w:ilvl w:val="0"/>
          <w:numId w:val="22"/>
        </w:numPr>
      </w:pPr>
      <w:r>
        <w:t>Designation of an individual or individuals responsible for</w:t>
      </w:r>
      <w:r w:rsidR="00187320">
        <w:t xml:space="preserve"> </w:t>
      </w:r>
      <w:r>
        <w:t>implementing and monitoring the operations and internal controls of</w:t>
      </w:r>
      <w:r w:rsidR="00187320">
        <w:t xml:space="preserve"> </w:t>
      </w:r>
      <w:r>
        <w:t>the program;</w:t>
      </w:r>
    </w:p>
    <w:p w:rsidR="00FC2953" w:rsidRDefault="00FC2953" w:rsidP="00172189">
      <w:pPr>
        <w:pStyle w:val="ListParagraph"/>
        <w:numPr>
          <w:ilvl w:val="0"/>
          <w:numId w:val="22"/>
        </w:numPr>
      </w:pPr>
      <w:r>
        <w:t>Ongoing training for appropriate persons; and</w:t>
      </w:r>
    </w:p>
    <w:p w:rsidR="00FC2953" w:rsidRDefault="00FC2953" w:rsidP="00172189">
      <w:pPr>
        <w:pStyle w:val="ListParagraph"/>
        <w:numPr>
          <w:ilvl w:val="0"/>
          <w:numId w:val="22"/>
        </w:numPr>
      </w:pPr>
      <w:r>
        <w:t>Appropriate risk-based procedures for conducting ongoing customer</w:t>
      </w:r>
      <w:r w:rsidR="00187320">
        <w:t xml:space="preserve"> </w:t>
      </w:r>
      <w:r>
        <w:t xml:space="preserve">due diligence, to </w:t>
      </w:r>
      <w:r w:rsidR="00187320">
        <w:t>include, but not be limited to:</w:t>
      </w:r>
    </w:p>
    <w:p w:rsidR="00FC2953" w:rsidRDefault="00FC2953" w:rsidP="00172189">
      <w:pPr>
        <w:pStyle w:val="ListParagraph"/>
        <w:numPr>
          <w:ilvl w:val="0"/>
          <w:numId w:val="24"/>
        </w:numPr>
        <w:ind w:hanging="360"/>
      </w:pPr>
      <w:r>
        <w:t>Understanding the nature and purpose of customer</w:t>
      </w:r>
      <w:r w:rsidR="00187320">
        <w:t xml:space="preserve"> </w:t>
      </w:r>
      <w:r>
        <w:t>relationships for the purpose of developing a customer risk</w:t>
      </w:r>
      <w:r w:rsidR="00187320">
        <w:t xml:space="preserve"> </w:t>
      </w:r>
      <w:r>
        <w:t>profile; and</w:t>
      </w:r>
    </w:p>
    <w:p w:rsidR="00FC2953" w:rsidRDefault="00FC2953" w:rsidP="00172189">
      <w:pPr>
        <w:pStyle w:val="ListParagraph"/>
        <w:numPr>
          <w:ilvl w:val="0"/>
          <w:numId w:val="24"/>
        </w:numPr>
        <w:ind w:hanging="360"/>
      </w:pPr>
      <w:r>
        <w:t>Conducting ongoing monitoring to identify and report</w:t>
      </w:r>
      <w:r w:rsidR="00187320">
        <w:t xml:space="preserve"> </w:t>
      </w:r>
      <w:r>
        <w:t>suspicious transactions and, on a risk basis, to maintain and</w:t>
      </w:r>
      <w:r w:rsidR="00187320">
        <w:t xml:space="preserve"> </w:t>
      </w:r>
      <w:r>
        <w:t>update customer information. For purposes of this paragraph</w:t>
      </w:r>
      <w:r w:rsidR="00187320">
        <w:t xml:space="preserve"> </w:t>
      </w:r>
      <w:r>
        <w:t>(b)(5)(ii), customer information shall include information</w:t>
      </w:r>
      <w:r w:rsidR="00187320">
        <w:t xml:space="preserve"> </w:t>
      </w:r>
      <w:r>
        <w:t>regarding the beneficial owners of legal entity customers (as</w:t>
      </w:r>
      <w:r w:rsidR="00187320">
        <w:t xml:space="preserve"> </w:t>
      </w:r>
      <w:r>
        <w:t>defined in §1010.230 of this chapter); and</w:t>
      </w:r>
    </w:p>
    <w:p w:rsidR="00FC2953" w:rsidRDefault="00FC2953" w:rsidP="00172189">
      <w:pPr>
        <w:pStyle w:val="ListParagraph"/>
        <w:numPr>
          <w:ilvl w:val="1"/>
          <w:numId w:val="19"/>
        </w:numPr>
        <w:ind w:left="360"/>
      </w:pPr>
      <w:r>
        <w:t>Complies with the rules, regulations, or requirements of its self-regulatory</w:t>
      </w:r>
      <w:r w:rsidR="00187320">
        <w:t xml:space="preserve"> </w:t>
      </w:r>
      <w:r>
        <w:t xml:space="preserve">organization governing such programs; </w:t>
      </w:r>
      <w:proofErr w:type="gramStart"/>
      <w:r>
        <w:t>provided that</w:t>
      </w:r>
      <w:proofErr w:type="gramEnd"/>
      <w:r>
        <w:t xml:space="preserve"> the rules, regulations, or</w:t>
      </w:r>
      <w:r w:rsidR="00187320">
        <w:t xml:space="preserve"> </w:t>
      </w:r>
      <w:r>
        <w:t>requirements of the self-regulatory organization governing such programs</w:t>
      </w:r>
      <w:r w:rsidR="00187320">
        <w:t xml:space="preserve"> </w:t>
      </w:r>
      <w:r>
        <w:t>have been made effective under the Securities Exchange Act of 1934 by the</w:t>
      </w:r>
      <w:r w:rsidR="00187320">
        <w:t xml:space="preserve"> </w:t>
      </w:r>
      <w:r>
        <w:t>appropriate Federal functional regulator in consultation with FinCEN.</w:t>
      </w:r>
    </w:p>
    <w:p w:rsidR="00FC2953" w:rsidRDefault="00FC2953" w:rsidP="007C0E84">
      <w:pPr>
        <w:jc w:val="center"/>
      </w:pPr>
      <w:r>
        <w:t>PART 1024-RULES FOR MUTUAL FUNDS</w:t>
      </w:r>
    </w:p>
    <w:p w:rsidR="00FC2953" w:rsidRDefault="00FC2953" w:rsidP="00FC2953">
      <w:r>
        <w:t>7. The authority citation for part 1024 continues to read as follows:</w:t>
      </w:r>
    </w:p>
    <w:p w:rsidR="00FC2953" w:rsidRDefault="00FC2953" w:rsidP="00FC2953">
      <w:r>
        <w:t>Authority: 12 U.S.C. 1829b and 1951-1959; 31 U.S.C. 5311-5314 and 5316-5332; title</w:t>
      </w:r>
      <w:r w:rsidR="00C70DA7">
        <w:t xml:space="preserve"> </w:t>
      </w:r>
      <w:r>
        <w:t xml:space="preserve">III, sec. 314 Pub. </w:t>
      </w:r>
      <w:proofErr w:type="gramStart"/>
      <w:r>
        <w:t>L. 107-56, 115 Stat. 307.</w:t>
      </w:r>
      <w:proofErr w:type="gramEnd"/>
    </w:p>
    <w:p w:rsidR="00FC2953" w:rsidRDefault="00FC2953" w:rsidP="00FC2953">
      <w:r>
        <w:t>8. Revise § 1024.210 to read as follows:</w:t>
      </w:r>
    </w:p>
    <w:p w:rsidR="00FC2953" w:rsidRPr="00D04939" w:rsidRDefault="00FC2953" w:rsidP="00FC2953">
      <w:pPr>
        <w:rPr>
          <w:b/>
        </w:rPr>
      </w:pPr>
      <w:proofErr w:type="gramStart"/>
      <w:r w:rsidRPr="00172189">
        <w:rPr>
          <w:b/>
        </w:rPr>
        <w:t>§1024.210 Anti-money laundering program</w:t>
      </w:r>
      <w:r w:rsidR="00D04939">
        <w:rPr>
          <w:b/>
        </w:rPr>
        <w:t xml:space="preserve"> requirements for mutual funds.</w:t>
      </w:r>
      <w:proofErr w:type="gramEnd"/>
    </w:p>
    <w:p w:rsidR="00FC2953" w:rsidRDefault="00FC2953" w:rsidP="002C33F4">
      <w:pPr>
        <w:pStyle w:val="ListParagraph"/>
        <w:numPr>
          <w:ilvl w:val="0"/>
          <w:numId w:val="26"/>
        </w:numPr>
        <w:ind w:left="360"/>
      </w:pPr>
      <w:proofErr w:type="gramStart"/>
      <w:r>
        <w:t>Effective July 24, 2002, each mutual fund shall develop and implement a</w:t>
      </w:r>
      <w:r w:rsidR="002C33F4">
        <w:t xml:space="preserve"> </w:t>
      </w:r>
      <w:r>
        <w:t>written anti-money laundering program reasonably designed to prevent the</w:t>
      </w:r>
      <w:r w:rsidR="002C33F4">
        <w:t xml:space="preserve"> </w:t>
      </w:r>
      <w:r>
        <w:t>mutual fund from being used for money laundering or the financing of</w:t>
      </w:r>
      <w:r w:rsidR="002C33F4">
        <w:t xml:space="preserve"> </w:t>
      </w:r>
      <w:r>
        <w:t>terrorist activities and to achieve and monitor compliance with the applicable</w:t>
      </w:r>
      <w:r w:rsidR="002C33F4">
        <w:t xml:space="preserve"> </w:t>
      </w:r>
      <w:r>
        <w:t>requirements of the Bank Secrecy Act (31 U.S.C. 5311, et seq.), and the</w:t>
      </w:r>
      <w:r w:rsidR="002C33F4">
        <w:t xml:space="preserve"> </w:t>
      </w:r>
      <w:r>
        <w:t>implementing regulations promulgated thereunder by the Department of the</w:t>
      </w:r>
      <w:r w:rsidR="002C33F4">
        <w:t xml:space="preserve"> </w:t>
      </w:r>
      <w:r>
        <w:t>Treasury.</w:t>
      </w:r>
      <w:proofErr w:type="gramEnd"/>
      <w:r>
        <w:t xml:space="preserve"> Each mutual fund’s anti-money laundering program </w:t>
      </w:r>
      <w:proofErr w:type="gramStart"/>
      <w:r>
        <w:t>must be</w:t>
      </w:r>
      <w:r w:rsidR="002C33F4">
        <w:t xml:space="preserve"> </w:t>
      </w:r>
      <w:r>
        <w:t>approved</w:t>
      </w:r>
      <w:proofErr w:type="gramEnd"/>
      <w:r>
        <w:t xml:space="preserve"> in writing by its board of directors or trustees. A mutual fund shall</w:t>
      </w:r>
      <w:r w:rsidR="002C33F4">
        <w:t xml:space="preserve"> </w:t>
      </w:r>
      <w:r>
        <w:t>make its anti-money laundering program available for inspection by the U.S.</w:t>
      </w:r>
      <w:r w:rsidR="002C33F4">
        <w:t xml:space="preserve"> </w:t>
      </w:r>
      <w:r>
        <w:t>Securities and Exchange Commission.</w:t>
      </w:r>
    </w:p>
    <w:p w:rsidR="00FC2953" w:rsidRDefault="00FC2953" w:rsidP="002C33F4">
      <w:pPr>
        <w:pStyle w:val="ListParagraph"/>
        <w:numPr>
          <w:ilvl w:val="0"/>
          <w:numId w:val="26"/>
        </w:numPr>
        <w:ind w:left="360"/>
      </w:pPr>
      <w:r>
        <w:lastRenderedPageBreak/>
        <w:t>The anti-money laundering program shall at a minimum:</w:t>
      </w:r>
    </w:p>
    <w:p w:rsidR="00FC2953" w:rsidRDefault="00FC2953" w:rsidP="002C33F4">
      <w:pPr>
        <w:pStyle w:val="ListParagraph"/>
        <w:numPr>
          <w:ilvl w:val="0"/>
          <w:numId w:val="27"/>
        </w:numPr>
      </w:pPr>
      <w:r>
        <w:t>Establish and implement policies, procedures, and internal controls</w:t>
      </w:r>
      <w:r w:rsidR="002C33F4">
        <w:t xml:space="preserve"> </w:t>
      </w:r>
      <w:r>
        <w:t>reasonably designed to prevent the mutual fund from being used for</w:t>
      </w:r>
      <w:r w:rsidR="002C33F4">
        <w:t xml:space="preserve"> </w:t>
      </w:r>
      <w:r>
        <w:t>money laundering or the financing of terrorist activities and to achieve</w:t>
      </w:r>
      <w:r w:rsidR="002C33F4">
        <w:t xml:space="preserve"> </w:t>
      </w:r>
      <w:r>
        <w:t>compliance with the applicable provisions of the Bank Secrecy Act</w:t>
      </w:r>
      <w:r w:rsidR="002C33F4">
        <w:t xml:space="preserve"> </w:t>
      </w:r>
      <w:r>
        <w:t>and implementing regulations thereunder;</w:t>
      </w:r>
    </w:p>
    <w:p w:rsidR="00FC2953" w:rsidRDefault="00FC2953" w:rsidP="002C33F4">
      <w:pPr>
        <w:pStyle w:val="ListParagraph"/>
        <w:numPr>
          <w:ilvl w:val="0"/>
          <w:numId w:val="27"/>
        </w:numPr>
      </w:pPr>
      <w:r>
        <w:t>Provide for independent testing for compliance to be conducted by the</w:t>
      </w:r>
      <w:r w:rsidR="002C33F4">
        <w:t xml:space="preserve"> </w:t>
      </w:r>
      <w:r>
        <w:t>mutual fund’s personnel or by a qualified outside party;</w:t>
      </w:r>
    </w:p>
    <w:p w:rsidR="00FC2953" w:rsidRDefault="00FC2953" w:rsidP="002C33F4">
      <w:pPr>
        <w:pStyle w:val="ListParagraph"/>
        <w:numPr>
          <w:ilvl w:val="0"/>
          <w:numId w:val="27"/>
        </w:numPr>
      </w:pPr>
      <w:r>
        <w:t>Designate a person or persons responsible for implementing and</w:t>
      </w:r>
      <w:r w:rsidR="002C33F4">
        <w:t xml:space="preserve"> </w:t>
      </w:r>
      <w:r>
        <w:t>monitoring the operations and internal controls of the program;</w:t>
      </w:r>
    </w:p>
    <w:p w:rsidR="00FC2953" w:rsidRDefault="00FC2953" w:rsidP="002C33F4">
      <w:pPr>
        <w:pStyle w:val="ListParagraph"/>
        <w:numPr>
          <w:ilvl w:val="0"/>
          <w:numId w:val="27"/>
        </w:numPr>
      </w:pPr>
      <w:r>
        <w:t>Implement appropriate risk-based procedures for conducting ongoing</w:t>
      </w:r>
      <w:r w:rsidR="002C33F4">
        <w:t xml:space="preserve"> </w:t>
      </w:r>
      <w:r>
        <w:t>customer due diligence, to include, but not be limited to:</w:t>
      </w:r>
    </w:p>
    <w:p w:rsidR="00FC2953" w:rsidRDefault="00FC2953" w:rsidP="002C33F4">
      <w:pPr>
        <w:pStyle w:val="ListParagraph"/>
        <w:numPr>
          <w:ilvl w:val="0"/>
          <w:numId w:val="28"/>
        </w:numPr>
        <w:ind w:hanging="360"/>
      </w:pPr>
      <w:r>
        <w:t>Understanding the nature and purpose of customer</w:t>
      </w:r>
      <w:r w:rsidR="002C33F4">
        <w:t xml:space="preserve"> </w:t>
      </w:r>
      <w:r>
        <w:t>relationships for the purpose of developing a customer risk</w:t>
      </w:r>
      <w:r w:rsidR="002C33F4">
        <w:t xml:space="preserve"> </w:t>
      </w:r>
      <w:r>
        <w:t>profile; and</w:t>
      </w:r>
    </w:p>
    <w:p w:rsidR="00FC2953" w:rsidRDefault="00FC2953" w:rsidP="002C33F4">
      <w:pPr>
        <w:pStyle w:val="ListParagraph"/>
        <w:numPr>
          <w:ilvl w:val="0"/>
          <w:numId w:val="28"/>
        </w:numPr>
        <w:ind w:hanging="360"/>
      </w:pPr>
      <w:r>
        <w:t>Conducting ongoing monitoring to identify and report</w:t>
      </w:r>
      <w:r w:rsidR="002C33F4">
        <w:t xml:space="preserve"> </w:t>
      </w:r>
      <w:r>
        <w:t>suspicious transactions and, on a risk basis, to maintain and</w:t>
      </w:r>
      <w:r w:rsidR="002C33F4">
        <w:t xml:space="preserve"> </w:t>
      </w:r>
      <w:r>
        <w:t>update customer information. For purposes of this paragraph</w:t>
      </w:r>
      <w:r w:rsidR="002C33F4">
        <w:t xml:space="preserve"> </w:t>
      </w:r>
      <w:r>
        <w:t>(b</w:t>
      </w:r>
      <w:proofErr w:type="gramStart"/>
      <w:r>
        <w:t>)(</w:t>
      </w:r>
      <w:proofErr w:type="gramEnd"/>
      <w:r>
        <w:t>4)(ii), customer information shall include information</w:t>
      </w:r>
      <w:r w:rsidR="002C33F4">
        <w:t xml:space="preserve"> </w:t>
      </w:r>
      <w:r>
        <w:t>regarding the beneficial owners of legal entity customers (as</w:t>
      </w:r>
      <w:r w:rsidR="002C33F4">
        <w:t xml:space="preserve"> </w:t>
      </w:r>
      <w:r>
        <w:t>defined in §1010.230 of this chapter).</w:t>
      </w:r>
    </w:p>
    <w:p w:rsidR="00FC2953" w:rsidRDefault="00FC2953" w:rsidP="002C33F4">
      <w:pPr>
        <w:jc w:val="center"/>
      </w:pPr>
      <w:r>
        <w:t>PART 1026-RULES FOR FUTURES COMMISSION MERCHANTS AND</w:t>
      </w:r>
      <w:r w:rsidR="002C33F4">
        <w:t xml:space="preserve"> </w:t>
      </w:r>
      <w:r>
        <w:t>INTRODUCING BROKERS IN COMMODITIES</w:t>
      </w:r>
    </w:p>
    <w:p w:rsidR="00FC2953" w:rsidRDefault="00FC2953" w:rsidP="00FC2953">
      <w:r>
        <w:t>9. The authority citation for part 1026 continues to read as follows:</w:t>
      </w:r>
    </w:p>
    <w:p w:rsidR="00FC2953" w:rsidRDefault="00FC2953" w:rsidP="00FC2953">
      <w:r>
        <w:t>Authority: 12 U.S.C. 1829b and 1951-1959; 31 U.S.C. 5311-5314 and 5316-5332; title</w:t>
      </w:r>
      <w:r w:rsidR="00C70DA7">
        <w:t xml:space="preserve"> </w:t>
      </w:r>
      <w:r>
        <w:t xml:space="preserve">III, sec. 314 Pub. </w:t>
      </w:r>
      <w:proofErr w:type="gramStart"/>
      <w:r>
        <w:t>L. 107-56, 115 Stat. 307.</w:t>
      </w:r>
      <w:proofErr w:type="gramEnd"/>
      <w:r w:rsidR="007C0E84">
        <w:t xml:space="preserve"> </w:t>
      </w:r>
      <w:r>
        <w:t>10. Revise § 1026.210 to read as follows:</w:t>
      </w:r>
    </w:p>
    <w:p w:rsidR="00FC2953" w:rsidRDefault="00FC2953" w:rsidP="00FC2953">
      <w:proofErr w:type="gramStart"/>
      <w:r w:rsidRPr="002C33F4">
        <w:rPr>
          <w:b/>
        </w:rPr>
        <w:t>§1026.210 Anti-money laundering program requirements for futures commission</w:t>
      </w:r>
      <w:r w:rsidR="007C0E84">
        <w:rPr>
          <w:b/>
        </w:rPr>
        <w:t xml:space="preserve"> </w:t>
      </w:r>
      <w:r w:rsidRPr="007C0E84">
        <w:rPr>
          <w:b/>
        </w:rPr>
        <w:t>merchants and introducing brokers in commodities.</w:t>
      </w:r>
      <w:proofErr w:type="gramEnd"/>
    </w:p>
    <w:p w:rsidR="00FC2953" w:rsidRDefault="00FC2953" w:rsidP="00FC2953">
      <w:r>
        <w:t>A futures commission merchant and an introducing broker in commodities shall be</w:t>
      </w:r>
      <w:r w:rsidR="007C0E84">
        <w:t xml:space="preserve"> </w:t>
      </w:r>
      <w:r>
        <w:t>deemed to satisfy the requirements of 31 U.S.C. 5318(h)(1) if the futures commission</w:t>
      </w:r>
      <w:r w:rsidR="007C0E84">
        <w:t xml:space="preserve"> </w:t>
      </w:r>
      <w:r>
        <w:t>merchant or introducing broker in commodities implements and maintains a written anti</w:t>
      </w:r>
      <w:r w:rsidR="007C0E84">
        <w:t>-</w:t>
      </w:r>
      <w:r>
        <w:t>money</w:t>
      </w:r>
      <w:r w:rsidR="007C0E84">
        <w:t xml:space="preserve"> </w:t>
      </w:r>
      <w:r>
        <w:t>laundering program approved by senior management that:</w:t>
      </w:r>
    </w:p>
    <w:p w:rsidR="00FC2953" w:rsidRDefault="00FC2953" w:rsidP="007C0E84">
      <w:pPr>
        <w:pStyle w:val="ListParagraph"/>
        <w:numPr>
          <w:ilvl w:val="1"/>
          <w:numId w:val="27"/>
        </w:numPr>
        <w:ind w:left="360"/>
      </w:pPr>
      <w:r>
        <w:t>Complies with the requirements of §§ 1010.610 and 1010.620 of this chapter</w:t>
      </w:r>
      <w:r w:rsidR="007C0E84">
        <w:t xml:space="preserve"> </w:t>
      </w:r>
      <w:r>
        <w:t>and any applicable regulation of its Federal functional regulator governing the</w:t>
      </w:r>
      <w:r w:rsidR="007C0E84">
        <w:t xml:space="preserve"> </w:t>
      </w:r>
      <w:r>
        <w:t>establishment and implementation of anti-money laundering programs;</w:t>
      </w:r>
    </w:p>
    <w:p w:rsidR="00FC2953" w:rsidRDefault="00FC2953" w:rsidP="007C0E84">
      <w:pPr>
        <w:pStyle w:val="ListParagraph"/>
        <w:numPr>
          <w:ilvl w:val="1"/>
          <w:numId w:val="27"/>
        </w:numPr>
        <w:ind w:left="360"/>
      </w:pPr>
      <w:r>
        <w:t>Includes, at a minimum:</w:t>
      </w:r>
    </w:p>
    <w:p w:rsidR="00FC2953" w:rsidRDefault="00FC2953" w:rsidP="007C0E84">
      <w:pPr>
        <w:pStyle w:val="ListParagraph"/>
        <w:numPr>
          <w:ilvl w:val="0"/>
          <w:numId w:val="30"/>
        </w:numPr>
      </w:pPr>
      <w:r>
        <w:t>The establishment and implementation of policies, procedures, and</w:t>
      </w:r>
      <w:r w:rsidR="007C0E84">
        <w:t xml:space="preserve"> </w:t>
      </w:r>
      <w:r>
        <w:t>internal controls reasonably designed to prevent the financial</w:t>
      </w:r>
      <w:r w:rsidR="007C0E84">
        <w:t xml:space="preserve"> </w:t>
      </w:r>
      <w:r>
        <w:t>institution from being used for money laundering or the financing of</w:t>
      </w:r>
      <w:r w:rsidR="007C0E84">
        <w:t xml:space="preserve"> </w:t>
      </w:r>
      <w:r>
        <w:t>terrorist activities and to achieve compliance with the applicable</w:t>
      </w:r>
      <w:r w:rsidR="007C0E84">
        <w:t xml:space="preserve"> </w:t>
      </w:r>
      <w:r>
        <w:t>provisions of the Bank Secrecy Act and the implementing regulations</w:t>
      </w:r>
      <w:r w:rsidR="007C0E84">
        <w:t xml:space="preserve"> </w:t>
      </w:r>
      <w:r>
        <w:t>thereunder;</w:t>
      </w:r>
    </w:p>
    <w:p w:rsidR="00FC2953" w:rsidRDefault="00FC2953" w:rsidP="007C0E84">
      <w:pPr>
        <w:pStyle w:val="ListParagraph"/>
        <w:numPr>
          <w:ilvl w:val="0"/>
          <w:numId w:val="30"/>
        </w:numPr>
      </w:pPr>
      <w:r>
        <w:t>Independent testing for compliance to be conducted by the futures</w:t>
      </w:r>
      <w:r w:rsidR="007C0E84">
        <w:t xml:space="preserve"> </w:t>
      </w:r>
      <w:r>
        <w:t>commission merchant or introducing broker in commodities’</w:t>
      </w:r>
      <w:r w:rsidR="007C0E84">
        <w:t xml:space="preserve"> </w:t>
      </w:r>
      <w:r>
        <w:t>personnel or by a qualified outside party;</w:t>
      </w:r>
    </w:p>
    <w:p w:rsidR="00FC2953" w:rsidRDefault="00FC2953" w:rsidP="007C0E84">
      <w:pPr>
        <w:pStyle w:val="ListParagraph"/>
        <w:numPr>
          <w:ilvl w:val="0"/>
          <w:numId w:val="30"/>
        </w:numPr>
      </w:pPr>
      <w:r>
        <w:lastRenderedPageBreak/>
        <w:t>Designation of an individual or individuals responsible for</w:t>
      </w:r>
      <w:r w:rsidR="007C0E84">
        <w:t xml:space="preserve"> </w:t>
      </w:r>
      <w:r>
        <w:t>implementing and monitoring the operations and internal controls of</w:t>
      </w:r>
      <w:r w:rsidR="007C0E84">
        <w:t xml:space="preserve"> </w:t>
      </w:r>
      <w:r>
        <w:t>the program;</w:t>
      </w:r>
    </w:p>
    <w:p w:rsidR="00FC2953" w:rsidRDefault="00FC2953" w:rsidP="007C0E84">
      <w:pPr>
        <w:pStyle w:val="ListParagraph"/>
        <w:numPr>
          <w:ilvl w:val="0"/>
          <w:numId w:val="30"/>
        </w:numPr>
      </w:pPr>
      <w:r>
        <w:t>Ongoing training for appropriate persons;</w:t>
      </w:r>
    </w:p>
    <w:p w:rsidR="00FC2953" w:rsidRDefault="00FC2953" w:rsidP="007C0E84">
      <w:pPr>
        <w:pStyle w:val="ListParagraph"/>
        <w:numPr>
          <w:ilvl w:val="0"/>
          <w:numId w:val="30"/>
        </w:numPr>
      </w:pPr>
      <w:r>
        <w:t>Appropriate risk-based procedures for conducting ongoing customer</w:t>
      </w:r>
      <w:r w:rsidR="007C0E84">
        <w:t xml:space="preserve"> </w:t>
      </w:r>
      <w:r>
        <w:t>due diligence, to include, but not be limited to:</w:t>
      </w:r>
    </w:p>
    <w:p w:rsidR="00FC2953" w:rsidRDefault="00FC2953" w:rsidP="007C0E84">
      <w:pPr>
        <w:pStyle w:val="ListParagraph"/>
        <w:numPr>
          <w:ilvl w:val="0"/>
          <w:numId w:val="31"/>
        </w:numPr>
        <w:ind w:hanging="360"/>
      </w:pPr>
      <w:r>
        <w:t>Understanding the nature and purpose of customer</w:t>
      </w:r>
      <w:r w:rsidR="007C0E84">
        <w:t xml:space="preserve"> </w:t>
      </w:r>
      <w:r>
        <w:t>relationships for the purpose of developing a customer risk</w:t>
      </w:r>
      <w:r w:rsidR="007C0E84">
        <w:t xml:space="preserve"> </w:t>
      </w:r>
      <w:r>
        <w:t>profile; and</w:t>
      </w:r>
    </w:p>
    <w:p w:rsidR="00FC2953" w:rsidRDefault="00FC2953" w:rsidP="007C0E84">
      <w:pPr>
        <w:pStyle w:val="ListParagraph"/>
        <w:numPr>
          <w:ilvl w:val="0"/>
          <w:numId w:val="31"/>
        </w:numPr>
        <w:ind w:hanging="360"/>
      </w:pPr>
      <w:r>
        <w:t>Conducting ongoing monitoring to identify and report</w:t>
      </w:r>
      <w:r w:rsidR="007C0E84">
        <w:t xml:space="preserve"> </w:t>
      </w:r>
      <w:r>
        <w:t>suspicious transactions and, on a risk basis, to maintain and</w:t>
      </w:r>
      <w:r w:rsidR="007C0E84">
        <w:t xml:space="preserve"> </w:t>
      </w:r>
      <w:r>
        <w:t>update customer information. For purposes of this paragraph</w:t>
      </w:r>
      <w:r w:rsidR="007C0E84">
        <w:t xml:space="preserve"> </w:t>
      </w:r>
      <w:r>
        <w:t>(b)(5)(ii), customer information shall include information</w:t>
      </w:r>
      <w:r w:rsidR="007C0E84">
        <w:t xml:space="preserve"> </w:t>
      </w:r>
      <w:r>
        <w:t>regarding the beneficial owners of legal entity customers (as</w:t>
      </w:r>
      <w:r w:rsidR="007C0E84">
        <w:t xml:space="preserve"> </w:t>
      </w:r>
      <w:r>
        <w:t>defined in §1010.230 of this chapter); and</w:t>
      </w:r>
    </w:p>
    <w:p w:rsidR="00FC2953" w:rsidRDefault="00FC2953" w:rsidP="007C0E84">
      <w:pPr>
        <w:pStyle w:val="ListParagraph"/>
        <w:numPr>
          <w:ilvl w:val="1"/>
          <w:numId w:val="27"/>
        </w:numPr>
        <w:ind w:left="360"/>
      </w:pPr>
      <w:r>
        <w:t>Complies with the rules, regulations, or requirements of its self-regulatory</w:t>
      </w:r>
      <w:r w:rsidR="007C0E84">
        <w:t xml:space="preserve"> </w:t>
      </w:r>
      <w:r>
        <w:t>organization governing such programs, provided that the rules, regulations, or</w:t>
      </w:r>
      <w:r w:rsidR="007C0E84">
        <w:t xml:space="preserve"> </w:t>
      </w:r>
      <w:r>
        <w:t>requirements of the self-regulatory organization governing such programs</w:t>
      </w:r>
      <w:r w:rsidR="007C0E84">
        <w:t xml:space="preserve"> </w:t>
      </w:r>
      <w:r>
        <w:t>have been made effective under the Commodity Exchange Act by the</w:t>
      </w:r>
      <w:r w:rsidR="007C0E84">
        <w:t xml:space="preserve"> </w:t>
      </w:r>
      <w:r>
        <w:t>appropriate Federal functional regulator in consultation with FinCEN</w:t>
      </w:r>
    </w:p>
    <w:sectPr w:rsidR="00FC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9CC"/>
    <w:multiLevelType w:val="hybridMultilevel"/>
    <w:tmpl w:val="CB807768"/>
    <w:lvl w:ilvl="0" w:tplc="7EE82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0C006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A07"/>
    <w:multiLevelType w:val="hybridMultilevel"/>
    <w:tmpl w:val="90AE1064"/>
    <w:lvl w:ilvl="0" w:tplc="83060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2F45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FD1"/>
    <w:multiLevelType w:val="hybridMultilevel"/>
    <w:tmpl w:val="B7A6CCB8"/>
    <w:lvl w:ilvl="0" w:tplc="ADBECC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F0A"/>
    <w:multiLevelType w:val="multilevel"/>
    <w:tmpl w:val="770C7168"/>
    <w:styleLink w:val="Regulatory"/>
    <w:lvl w:ilvl="0">
      <w:start w:val="1"/>
      <w:numFmt w:val="lowerLetter"/>
      <w:pStyle w:val="Heading1"/>
      <w:lvlText w:val="%1(a)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i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24145E"/>
    <w:multiLevelType w:val="hybridMultilevel"/>
    <w:tmpl w:val="1BD63440"/>
    <w:lvl w:ilvl="0" w:tplc="637E40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26B7"/>
    <w:multiLevelType w:val="hybridMultilevel"/>
    <w:tmpl w:val="A2B68C84"/>
    <w:lvl w:ilvl="0" w:tplc="7DB4D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0F4C"/>
    <w:multiLevelType w:val="hybridMultilevel"/>
    <w:tmpl w:val="F512785A"/>
    <w:lvl w:ilvl="0" w:tplc="6172C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26BB"/>
    <w:multiLevelType w:val="hybridMultilevel"/>
    <w:tmpl w:val="EA2C51AE"/>
    <w:lvl w:ilvl="0" w:tplc="35A68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14"/>
    <w:multiLevelType w:val="hybridMultilevel"/>
    <w:tmpl w:val="C680B8BC"/>
    <w:lvl w:ilvl="0" w:tplc="ADBECC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248A"/>
    <w:multiLevelType w:val="hybridMultilevel"/>
    <w:tmpl w:val="DB24981A"/>
    <w:lvl w:ilvl="0" w:tplc="04090019" w:tentative="1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75BB"/>
    <w:multiLevelType w:val="hybridMultilevel"/>
    <w:tmpl w:val="A0FA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2427"/>
    <w:multiLevelType w:val="hybridMultilevel"/>
    <w:tmpl w:val="2F6ED382"/>
    <w:lvl w:ilvl="0" w:tplc="47085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6AF6"/>
    <w:multiLevelType w:val="hybridMultilevel"/>
    <w:tmpl w:val="7102D890"/>
    <w:lvl w:ilvl="0" w:tplc="B0FC4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524C6"/>
    <w:multiLevelType w:val="hybridMultilevel"/>
    <w:tmpl w:val="DCAEA5D2"/>
    <w:lvl w:ilvl="0" w:tplc="FC84E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C128D"/>
    <w:multiLevelType w:val="hybridMultilevel"/>
    <w:tmpl w:val="90302CF6"/>
    <w:lvl w:ilvl="0" w:tplc="EAD0E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33580"/>
    <w:multiLevelType w:val="hybridMultilevel"/>
    <w:tmpl w:val="71A0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2B4"/>
    <w:multiLevelType w:val="hybridMultilevel"/>
    <w:tmpl w:val="1CE03900"/>
    <w:lvl w:ilvl="0" w:tplc="ADBECC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62456"/>
    <w:multiLevelType w:val="hybridMultilevel"/>
    <w:tmpl w:val="2FB6BFFE"/>
    <w:lvl w:ilvl="0" w:tplc="6172C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F1AE1"/>
    <w:multiLevelType w:val="hybridMultilevel"/>
    <w:tmpl w:val="A70AA308"/>
    <w:lvl w:ilvl="0" w:tplc="8A987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A16A0"/>
    <w:multiLevelType w:val="hybridMultilevel"/>
    <w:tmpl w:val="A1A8517C"/>
    <w:lvl w:ilvl="0" w:tplc="1F4E6C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5543"/>
    <w:multiLevelType w:val="hybridMultilevel"/>
    <w:tmpl w:val="348ADEC2"/>
    <w:lvl w:ilvl="0" w:tplc="6802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E7DE5"/>
    <w:multiLevelType w:val="hybridMultilevel"/>
    <w:tmpl w:val="855A3B94"/>
    <w:lvl w:ilvl="0" w:tplc="4350A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1BAF6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C06"/>
    <w:multiLevelType w:val="hybridMultilevel"/>
    <w:tmpl w:val="21DA02CE"/>
    <w:lvl w:ilvl="0" w:tplc="637E40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F748B"/>
    <w:multiLevelType w:val="hybridMultilevel"/>
    <w:tmpl w:val="7AC0820C"/>
    <w:lvl w:ilvl="0" w:tplc="FC84E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749B7"/>
    <w:multiLevelType w:val="hybridMultilevel"/>
    <w:tmpl w:val="5F92C766"/>
    <w:lvl w:ilvl="0" w:tplc="AA88C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674CB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70D1"/>
    <w:multiLevelType w:val="hybridMultilevel"/>
    <w:tmpl w:val="79C4E6BE"/>
    <w:lvl w:ilvl="0" w:tplc="AFB67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E513E"/>
    <w:multiLevelType w:val="hybridMultilevel"/>
    <w:tmpl w:val="F19A6B40"/>
    <w:lvl w:ilvl="0" w:tplc="1F4E6C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30830"/>
    <w:multiLevelType w:val="hybridMultilevel"/>
    <w:tmpl w:val="E7484934"/>
    <w:lvl w:ilvl="0" w:tplc="5BD8F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66BCE"/>
    <w:multiLevelType w:val="hybridMultilevel"/>
    <w:tmpl w:val="40FECBF0"/>
    <w:lvl w:ilvl="0" w:tplc="A3266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28"/>
  </w:num>
  <w:num w:numId="10">
    <w:abstractNumId w:val="27"/>
  </w:num>
  <w:num w:numId="11">
    <w:abstractNumId w:val="1"/>
  </w:num>
  <w:num w:numId="12">
    <w:abstractNumId w:val="20"/>
  </w:num>
  <w:num w:numId="13">
    <w:abstractNumId w:val="15"/>
  </w:num>
  <w:num w:numId="14">
    <w:abstractNumId w:val="0"/>
  </w:num>
  <w:num w:numId="15">
    <w:abstractNumId w:val="16"/>
  </w:num>
  <w:num w:numId="16">
    <w:abstractNumId w:val="2"/>
  </w:num>
  <w:num w:numId="17">
    <w:abstractNumId w:val="17"/>
  </w:num>
  <w:num w:numId="18">
    <w:abstractNumId w:val="6"/>
  </w:num>
  <w:num w:numId="19">
    <w:abstractNumId w:val="21"/>
  </w:num>
  <w:num w:numId="20">
    <w:abstractNumId w:val="23"/>
  </w:num>
  <w:num w:numId="21">
    <w:abstractNumId w:val="13"/>
  </w:num>
  <w:num w:numId="22">
    <w:abstractNumId w:val="18"/>
  </w:num>
  <w:num w:numId="23">
    <w:abstractNumId w:val="9"/>
  </w:num>
  <w:num w:numId="24">
    <w:abstractNumId w:val="19"/>
  </w:num>
  <w:num w:numId="25">
    <w:abstractNumId w:val="26"/>
  </w:num>
  <w:num w:numId="26">
    <w:abstractNumId w:val="14"/>
  </w:num>
  <w:num w:numId="27">
    <w:abstractNumId w:val="24"/>
  </w:num>
  <w:num w:numId="28">
    <w:abstractNumId w:val="4"/>
  </w:num>
  <w:num w:numId="29">
    <w:abstractNumId w:val="22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53"/>
    <w:rsid w:val="00172189"/>
    <w:rsid w:val="00187320"/>
    <w:rsid w:val="002C33F4"/>
    <w:rsid w:val="00373EF9"/>
    <w:rsid w:val="003E4A2C"/>
    <w:rsid w:val="006B628C"/>
    <w:rsid w:val="006D5455"/>
    <w:rsid w:val="007C0E84"/>
    <w:rsid w:val="0096015C"/>
    <w:rsid w:val="00A85B5E"/>
    <w:rsid w:val="00C04D03"/>
    <w:rsid w:val="00C70DA7"/>
    <w:rsid w:val="00D04939"/>
    <w:rsid w:val="00D1290E"/>
    <w:rsid w:val="00FC2953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28C"/>
    <w:pPr>
      <w:keepNext/>
      <w:keepLines/>
      <w:numPr>
        <w:numId w:val="3"/>
      </w:numPr>
      <w:spacing w:after="0" w:line="240" w:lineRule="auto"/>
      <w:outlineLvl w:val="0"/>
    </w:pPr>
    <w:rPr>
      <w:rFonts w:eastAsiaTheme="majorEastAsi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gulatory">
    <w:name w:val="Regulatory"/>
    <w:uiPriority w:val="99"/>
    <w:rsid w:val="006B628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1290E"/>
    <w:rPr>
      <w:rFonts w:eastAsiaTheme="majorEastAsia" w:cstheme="majorBidi"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A85B5E"/>
    <w:pPr>
      <w:ind w:left="720"/>
      <w:contextualSpacing/>
    </w:pPr>
  </w:style>
  <w:style w:type="table" w:styleId="TableGrid">
    <w:name w:val="Table Grid"/>
    <w:basedOn w:val="TableNormal"/>
    <w:uiPriority w:val="59"/>
    <w:rsid w:val="006D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28C"/>
    <w:pPr>
      <w:keepNext/>
      <w:keepLines/>
      <w:numPr>
        <w:numId w:val="3"/>
      </w:numPr>
      <w:spacing w:after="0" w:line="240" w:lineRule="auto"/>
      <w:outlineLvl w:val="0"/>
    </w:pPr>
    <w:rPr>
      <w:rFonts w:eastAsiaTheme="majorEastAsi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gulatory">
    <w:name w:val="Regulatory"/>
    <w:uiPriority w:val="99"/>
    <w:rsid w:val="006B628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1290E"/>
    <w:rPr>
      <w:rFonts w:eastAsiaTheme="majorEastAsia" w:cstheme="majorBidi"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A85B5E"/>
    <w:pPr>
      <w:ind w:left="720"/>
      <w:contextualSpacing/>
    </w:pPr>
  </w:style>
  <w:style w:type="table" w:styleId="TableGrid">
    <w:name w:val="Table Grid"/>
    <w:basedOn w:val="TableNormal"/>
    <w:uiPriority w:val="59"/>
    <w:rsid w:val="006D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Compliance Group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McKinney</dc:creator>
  <cp:lastModifiedBy>Jim McKinney</cp:lastModifiedBy>
  <cp:revision>1</cp:revision>
  <cp:lastPrinted>2016-05-09T17:42:00Z</cp:lastPrinted>
  <dcterms:created xsi:type="dcterms:W3CDTF">2016-05-09T13:57:00Z</dcterms:created>
  <dcterms:modified xsi:type="dcterms:W3CDTF">2016-05-09T17:56:00Z</dcterms:modified>
</cp:coreProperties>
</file>